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6838" w:h="11906" w:orient="landscape"/>
      <w:pgMar w:top="1440" w:right="1440" w:bottom="1440" w:left="1440" w:header="720" w:footer="720" w:gutter="0"/>
    </w:sectPr>
    <w:p>
      <w:pPr>
        <w:spacing w:lineRule="auto"/>
      </w:pPr>
      <w:r>
        <w:rPr/>
        <w:t xml:space="preserve"/>
      </w:r>
    </w:p>
    <w:p>
      <w:pPr>
        <w:spacing w:line="240" w:before="0" w:after="0" w:lineRule="auto"/>
      </w:pPr>
      <w:r>
        <w:rPr/>
        <w:drawing>
          <wp:inline distB="0" distL="0" distR="0" distT="0">
            <wp:extent cx="1905000" cy="1905000"/>
            <wp:effectExtent b="0" l="0" r="0" t="0"/>
            <wp:docPr id="1" name="image-CaYDxmZktCKmPW2VglPTp.png"/>
            <a:graphic>
              <a:graphicData uri="http://schemas.openxmlformats.org/drawingml/2006/picture">
                <pic:pic>
                  <pic:nvPicPr>
                    <pic:cNvPr id="1" name="image-CaYDxmZktCKmPW2VglPTp.png" descr=""/>
                    <pic:cNvPicPr/>
                  </pic:nvPicPr>
                  <pic:blipFill>
                    <a:blip r:embed="rId6" cstate="print"/>
                    <a:srcRect b="0" l="0" r="0" t="0"/>
                    <a:stretch>
                      <a:fillRect/>
                    </a:stretch>
                  </pic:blipFill>
                  <pic:spPr>
                    <a:xfrm>
                      <a:off x="0" y="0"/>
                      <a:ext cx="1905000" cy="1905000"/>
                    </a:xfrm>
                    <a:prstGeom prst="rect"/>
                  </pic:spPr>
                </pic:pic>
              </a:graphicData>
            </a:graphic>
          </wp:inline>
        </w:drawing>
      </w:r>
    </w:p>
    <w:p>
      <w:pPr>
        <w:pStyle w:val="Heading1"/>
        <w:spacing w:lineRule="auto"/>
      </w:pPr>
      <w:hyperlink r:id="rId7"/>
      <w:r>
        <w:rPr>
          <w:b/>
          <w:sz w:val="48"/>
        </w:rPr>
        <w:t xml:space="preserve">Suvera Recall DPIA Template</w:t>
      </w:r>
    </w:p>
    <w:p>
      <w:pPr>
        <w:pStyle w:val="Heading2"/>
        <w:spacing w:lineRule="auto"/>
      </w:pPr>
      <w:hyperlink r:id="rId8"/>
      <w:r>
        <w:rPr>
          <w:b/>
          <w:sz w:val="36"/>
        </w:rPr>
        <w:t xml:space="preserve">Draft for Deployers</w:t>
      </w:r>
    </w:p>
    <w:p>
      <w:pPr>
        <w:spacing w:lineRule="auto"/>
      </w:pPr>
      <w:r>
        <w:rPr/>
      </w:r>
    </w:p>
    <w:p>
      <w:pPr>
        <w:spacing w:lineRule="auto"/>
      </w:pPr>
      <w:r>
        <w:rPr>
          <w:b/>
          <w:color w:val="000000"/>
          <w:sz w:val="27"/>
        </w:rPr>
        <w:t xml:space="preserve">Document Management</w:t>
      </w:r>
    </w:p>
    <w:p>
      <w:pPr>
        <w:spacing w:lineRule="auto"/>
      </w:pPr>
      <w:r>
        <w:rPr>
          <w:color w:val="000000"/>
        </w:rPr>
        <w:t xml:space="preserve">Organisation: </w:t>
      </w:r>
      <w:r>
        <w:rPr>
          <w:color w:val="000000"/>
          <w:shd w:val="clear" w:fill="FEFF00"/>
        </w:rPr>
        <w:t xml:space="preserve">[Insert GP Practice Name]</w:t>
      </w:r>
    </w:p>
    <w:p>
      <w:pPr>
        <w:spacing w:lineRule="auto"/>
      </w:pPr>
      <w:r>
        <w:rPr>
          <w:color w:val="000000"/>
        </w:rPr>
        <w:t xml:space="preserve">Issue Date: </w:t>
      </w:r>
      <w:r>
        <w:rPr>
          <w:color w:val="000000"/>
          <w:shd w:val="clear" w:fill="FEFF00"/>
        </w:rPr>
        <w:t xml:space="preserve">[Insert]</w:t>
      </w:r>
    </w:p>
    <w:p>
      <w:pPr>
        <w:spacing w:lineRule="auto"/>
      </w:pPr>
      <w:r>
        <w:rPr>
          <w:color w:val="000000"/>
        </w:rPr>
        <w:t xml:space="preserve">Document Owner: </w:t>
      </w:r>
      <w:r>
        <w:rPr>
          <w:color w:val="000000"/>
          <w:shd w:val="clear" w:fill="FEFF00"/>
        </w:rPr>
        <w:t xml:space="preserve">[Insert]</w:t>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Departments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215eb8"/>
                <w:shd w:val="clear" w:fill="C9DAF8"/>
              </w:rPr>
              <w:t xml:space="preserve">Practice - Wide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Mandatory Requirement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hd w:val="clear" w:fill="F4CCCC"/>
              </w:rPr>
              <w:t xml:space="preserve">Mandatory</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Directory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584437"/>
                <w:sz w:val="24"/>
              </w:rPr>
              <w:t xml:space="preserve">Data Protection &amp; Privacy</w:t>
            </w:r>
          </w:p>
        </w:tc>
      </w:tr>
    </w:tbl>
    <w:p>
      <w:pPr>
        <w:spacing w:lineRule="auto"/>
      </w:pPr>
      <w:r>
        <w:rPr/>
      </w:r>
    </w:p>
    <w:p>
      <w:pPr>
        <w:spacing w:lineRule="auto"/>
      </w:pPr>
      <w:r>
        <w:rPr/>
      </w:r>
    </w:p>
    <w:p>
      <w:pPr>
        <w:spacing w:lineRule="auto"/>
      </w:pPr>
      <w:r>
        <w:rPr>
          <w:b/>
          <w:color w:val="000000"/>
        </w:rPr>
        <w:t xml:space="preserve">Document Version Control</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3489.5"/>
        <w:gridCol w:w="3489.5"/>
        <w:gridCol w:w="3489.5"/>
        <w:gridCol w:w="3489.5"/>
      </w:tblGrid>
      <w:tr>
        <w:trPr/>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Version</w:t>
            </w:r>
          </w:p>
        </w:tc>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Date</w:t>
            </w:r>
          </w:p>
        </w:tc>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Summary of changes</w:t>
            </w:r>
          </w:p>
        </w:tc>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Author</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1.0</w:t>
            </w:r>
          </w:p>
        </w:tc>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Sep 15, 2026, 23:36</w:t>
            </w:r>
          </w:p>
        </w:tc>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Initial version</w:t>
            </w:r>
          </w:p>
        </w:tc>
        <w:tc>
          <w:tcPr>
            <w:tcBorders>
              <w:top w:val="single" w:sz="8" w:space="0" w:color="000000"/>
              <w:bottom w:val="single" w:sz="8" w:space="0" w:color="000000"/>
              <w:left w:val="single" w:sz="8" w:space="0" w:color="000000"/>
              <w:right w:val="single" w:sz="8" w:space="0" w:color="000000"/>
            </w:tcBorders>
            <w:vAlign w:val="top"/>
            <w:tcW w:w="0" w:type="dxa"/>
          </w:tcPr>
          <w:p>
            <w:pPr>
              <w:jc w:val="center"/>
              <w:spacing w:lineRule="auto"/>
            </w:pPr>
            <w:r>
              <w:rPr/>
              <w:t xml:space="preserve">Ryan Peggs</w:t>
            </w:r>
          </w:p>
        </w:tc>
      </w:tr>
    </w:tbl>
    <w:p>
      <w:pPr>
        <w:spacing w:lineRule="auto"/>
      </w:pPr>
      <w:r>
        <w:rPr/>
      </w:r>
    </w:p>
    <w:p>
      <w:pPr>
        <w:pStyle w:val="Heading2"/>
        <w:spacing w:lineRule="auto"/>
      </w:pPr>
      <w:hyperlink r:id="rId9"/>
      <w:r>
        <w:rPr>
          <w:b/>
          <w:color w:val="FE0000"/>
          <w:sz w:val="36"/>
        </w:rPr>
        <w:t xml:space="preserve">Confidentiality Notice</w:t>
      </w:r>
    </w:p>
    <w:p>
      <w:pPr>
        <w:spacing w:lineRule="auto"/>
      </w:pPr>
      <w:r>
        <w:rPr/>
        <w:t xml:space="preserve">This document contains information that is privileged, confidential, or otherwise protected from disclosure. It must not be used by, or its contents reproduced, copied or disclosed without prior written consent from </w:t>
      </w:r>
      <w:r>
        <w:rPr>
          <w:shd w:val="clear" w:fill="FEFF00"/>
        </w:rPr>
        <w:t xml:space="preserve">[Practice Name]</w:t>
      </w:r>
      <w:r>
        <w:rPr/>
        <w:t xml:space="preserve">.</w:t>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shd w:val="clear" w:fill="d9e2f3"/>
            <w:tcW w:w="0" w:type="dxa"/>
          </w:tcPr>
          <w:p>
            <w:pPr>
              <w:jc w:val="left"/>
              <w:spacing w:lineRule="auto"/>
            </w:pPr>
            <w:r>
              <w:rPr>
                <w:b/>
                <w:color w:val="000000"/>
                <w:sz w:val="24"/>
              </w:rPr>
              <w:t xml:space="preserve">Purpose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To identify and minimise the data protection risks of the practice's use of the Suvera Recall tool.</w:t>
            </w:r>
          </w:p>
        </w:tc>
      </w:tr>
    </w:tbl>
    <w:p>
      <w:pPr>
        <w:spacing w:lineRule="auto"/>
      </w:pPr>
      <w:r>
        <w:rPr/>
      </w:r>
    </w:p>
    <w:p>
      <w:pPr>
        <w:pStyle w:val="Heading2"/>
        <w:spacing w:lineRule="auto"/>
      </w:pPr>
      <w:hyperlink r:id="rId10"/>
      <w:r>
        <w:rPr>
          <w:b/>
          <w:color w:val="1f4e79"/>
          <w:sz w:val="35"/>
        </w:rPr>
        <w:t xml:space="preserve">Section 1 — Pre-DPIA screening checklist</w:t>
      </w:r>
    </w:p>
    <w:p>
      <w:pPr>
        <w:spacing w:lineRule="auto"/>
      </w:pPr>
      <w:r>
        <w:rPr>
          <w:color w:val="000000"/>
          <w:sz w:val="24"/>
        </w:rPr>
        <w:t xml:space="preserve">If the DPO has already directed you to complete a DPIA, skip this section and go directly to Section 2.</w:t>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shd w:val="clear" w:fill="d9e2f3"/>
            <w:tcW w:w="0" w:type="dxa"/>
          </w:tcPr>
          <w:p>
            <w:pPr>
              <w:jc w:val="left"/>
              <w:spacing w:lineRule="auto"/>
            </w:pPr>
            <w:r>
              <w:rPr>
                <w:b/>
                <w:color w:val="000000"/>
                <w:sz w:val="24"/>
              </w:rPr>
              <w:t xml:space="preserve">Project description</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Processing patient data via Suvera Recall</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0" w:type="dxa"/>
          </w:tcPr>
          <w:p>
            <w:pPr>
              <w:jc w:val="left"/>
              <w:spacing w:lineRule="auto"/>
            </w:pPr>
            <w:r>
              <w:rPr>
                <w:b/>
                <w:color w:val="000000"/>
                <w:sz w:val="24"/>
              </w:rPr>
              <w:t xml:space="preserve">Completed by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0" w:type="dxa"/>
          </w:tcPr>
          <w:p>
            <w:pPr>
              <w:jc w:val="left"/>
              <w:spacing w:lineRule="auto"/>
            </w:pPr>
            <w:r>
              <w:rPr>
                <w:b/>
                <w:color w:val="000000"/>
                <w:sz w:val="24"/>
              </w:rPr>
              <w:t xml:space="preserve">Reference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0" w:type="dxa"/>
          </w:tcPr>
          <w:p>
            <w:pPr>
              <w:jc w:val="left"/>
              <w:spacing w:lineRule="auto"/>
            </w:pPr>
            <w:r>
              <w:rPr>
                <w:b/>
                <w:color w:val="000000"/>
                <w:sz w:val="24"/>
              </w:rPr>
              <w:t xml:space="preserve">Date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bl>
    <w:p>
      <w:pPr>
        <w:spacing w:lineRule="auto"/>
      </w:pPr>
      <w:r>
        <w:rPr/>
      </w:r>
    </w:p>
    <w:p>
      <w:pPr>
        <w:spacing w:lineRule="auto"/>
      </w:pPr>
      <w:r>
        <w:rPr/>
      </w:r>
    </w:p>
    <w:p>
      <w:pPr>
        <w:pStyle w:val="Heading3"/>
        <w:spacing w:lineRule="auto"/>
      </w:pPr>
      <w:hyperlink r:id="rId11"/>
      <w:r>
        <w:rPr>
          <w:b/>
          <w:sz w:val="28"/>
        </w:rPr>
        <w:t xml:space="preserve">Part A — Baseline questions</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3489.5"/>
        <w:gridCol w:w="3489.5"/>
        <w:gridCol w:w="3489.5"/>
        <w:gridCol w:w="3489.5"/>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Question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Y / 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Notes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Are you based in the UK/EEA and processing personal data, or outside the UK/EEA and processing personal data of UK/EEA data subjects?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 you think the project is likely to result in a high risk to the rights and freedoms of the individual in relation to their privacy?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bl>
    <w:p>
      <w:pPr>
        <w:spacing w:lineRule="auto"/>
      </w:pPr>
      <w:r>
        <w:rPr/>
      </w:r>
    </w:p>
    <w:p>
      <w:pPr>
        <w:pStyle w:val="Heading3"/>
        <w:spacing w:lineRule="auto"/>
      </w:pPr>
      <w:hyperlink r:id="rId12"/>
      <w:r>
        <w:rPr>
          <w:b/>
          <w:sz w:val="28"/>
        </w:rPr>
        <w:t xml:space="preserve">Part B — EDPB criteria (two or more Yes in Q3–14 = DPIA required)</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3489.5"/>
        <w:gridCol w:w="3489.5"/>
        <w:gridCol w:w="3489.5"/>
        <w:gridCol w:w="3489.5"/>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Question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Y / 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Notes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Evaluation or scoring (including profiling of individuals)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Patients are risk-stratified using the UCLP risk score to prioritise recall order (highest to lowest risk).</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Use of innovative or novel technology (including AI/ML tools)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Automated decision-making with significant effects on individuals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6</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Systematic monitoring (e.g. website tracking, staff monitoring)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7</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Processing of sensitive data or data of a highly personal nature (special category or criminal offence data)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Clinical/health data</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8</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Processing on a large scale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 practice list size]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9</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Processing of data concerning vulnerable data subjects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Patients with long term conditions, on medication requiring monitoring and</w:t>
            </w:r>
            <w:r>
              <w:rPr>
                <w:shd w:val="clear" w:fill="FFFFFF"/>
              </w:rPr>
              <w:t xml:space="preserve">children</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10</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Innovative technological or organisational solutions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Processing that involves preventing data subjects from exercising a right or using a service or contract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Processing biometric or genetic data in combination with any of the criteria in the European guidelines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Processing personal data without providing a privacy notice directly to the individual</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Practice privacy policy to be updated as appropriate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Processing personal data in a way that involves tracking individuals' online or offline location or behaviour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bl>
    <w:p>
      <w:pPr>
        <w:spacing w:lineRule="auto"/>
      </w:pPr>
      <w:r>
        <w:rPr/>
      </w:r>
    </w:p>
    <w:p>
      <w:pPr>
        <w:pStyle w:val="Heading3"/>
        <w:spacing w:lineRule="auto"/>
      </w:pPr>
      <w:hyperlink r:id="rId13"/>
      <w:r>
        <w:rPr>
          <w:b/>
          <w:sz w:val="28"/>
        </w:rPr>
        <w:t xml:space="preserve">Part C — ICO mandatory list (one or more Yes in Q15–22 = DPIA required)</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3489.5"/>
        <w:gridCol w:w="3489.5"/>
        <w:gridCol w:w="3489.5"/>
        <w:gridCol w:w="3489.5"/>
      </w:tblGrid>
      <w:tr>
        <w:trPr/>
        <w:tc>
          <w:tcPr>
            <w:tcBorders>
              <w:top w:val="single" w:sz="8" w:space="0" w:color="000000"/>
              <w:bottom w:val="single" w:sz="8" w:space="0" w:color="000000"/>
              <w:left w:val="single" w:sz="8" w:space="0" w:color="000000"/>
              <w:right w:val="single" w:sz="8" w:space="0" w:color="000000"/>
            </w:tcBorders>
            <w:vAlign w:val="top"/>
            <w:shd w:val="clear" w:fill="0C5394"/>
            <w:tcW w:w="870" w:type="dxa"/>
          </w:tcPr>
          <w:p>
            <w:pPr>
              <w:jc w:val="left"/>
              <w:spacing w:lineRule="auto"/>
            </w:pPr>
            <w:r>
              <w:rPr>
                <w:color w:val="FFFFFF"/>
              </w:rPr>
              <w:t xml:space="preserve">#</w:t>
            </w:r>
          </w:p>
        </w:tc>
        <w:tc>
          <w:tcPr>
            <w:tcBorders>
              <w:top w:val="single" w:sz="8" w:space="0" w:color="000000"/>
              <w:bottom w:val="single" w:sz="8" w:space="0" w:color="000000"/>
              <w:left w:val="single" w:sz="8" w:space="0" w:color="000000"/>
              <w:right w:val="single" w:sz="8" w:space="0" w:color="000000"/>
            </w:tcBorders>
            <w:vAlign w:val="top"/>
            <w:shd w:val="clear" w:fill="0C5394"/>
            <w:tcW w:w="4740" w:type="dxa"/>
          </w:tcPr>
          <w:p>
            <w:pPr>
              <w:jc w:val="left"/>
              <w:spacing w:lineRule="auto"/>
            </w:pPr>
            <w:r>
              <w:rPr>
                <w:color w:val="FFFFFF"/>
              </w:rPr>
              <w:t xml:space="preserve">Question</w:t>
            </w:r>
          </w:p>
        </w:tc>
        <w:tc>
          <w:tcPr>
            <w:tcBorders>
              <w:top w:val="single" w:sz="8" w:space="0" w:color="000000"/>
              <w:bottom w:val="single" w:sz="8" w:space="0" w:color="000000"/>
              <w:left w:val="single" w:sz="8" w:space="0" w:color="000000"/>
              <w:right w:val="single" w:sz="8" w:space="0" w:color="000000"/>
            </w:tcBorders>
            <w:vAlign w:val="top"/>
            <w:shd w:val="clear" w:fill="0C5394"/>
          </w:tcPr>
          <w:p>
            <w:pPr>
              <w:jc w:val="left"/>
              <w:spacing w:lineRule="auto"/>
            </w:pPr>
            <w:r>
              <w:rPr>
                <w:color w:val="FFFFFF"/>
              </w:rPr>
              <w:t xml:space="preserve">Y / N</w:t>
            </w:r>
          </w:p>
        </w:tc>
        <w:tc>
          <w:tcPr>
            <w:tcBorders>
              <w:top w:val="single" w:sz="8" w:space="0" w:color="000000"/>
              <w:bottom w:val="single" w:sz="8" w:space="0" w:color="000000"/>
              <w:left w:val="single" w:sz="8" w:space="0" w:color="000000"/>
              <w:right w:val="single" w:sz="8" w:space="0" w:color="000000"/>
            </w:tcBorders>
            <w:vAlign w:val="top"/>
            <w:shd w:val="clear" w:fill="0C5394"/>
            <w:tcW w:w="2460" w:type="dxa"/>
          </w:tcPr>
          <w:p>
            <w:pPr>
              <w:jc w:val="left"/>
              <w:spacing w:lineRule="auto"/>
            </w:pPr>
            <w:r>
              <w:rPr>
                <w:color w:val="FFFFFF"/>
              </w:rPr>
              <w:t xml:space="preserve">Notes</w:t>
            </w: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15</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Use of systematic and extensive profiling or automated decision-making to make significant decisions about people</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2460" w:type="dxa"/>
          </w:tcP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16</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Processing special category data or criminal offence data on a large scale</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2460" w:type="dxa"/>
          </w:tcPr>
          <w:p>
            <w:pPr>
              <w:jc w:val="left"/>
              <w:spacing w:lineRule="auto"/>
            </w:pPr>
            <w:r>
              <w:rPr/>
              <w:t xml:space="preserve">Clinical/health data</w:t>
            </w: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17</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Systematically monitoring a publicly accessible place on a large scale</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2460" w:type="dxa"/>
          </w:tcP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18</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Use of profiling, automated decision-making or special category data to help make decisions on someone's access to a service, opportunity or benefit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2460" w:type="dxa"/>
          </w:tcP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19</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Carrying out profiling on a large scale</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2460" w:type="dxa"/>
          </w:tcP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20</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Combining, comparing or matching personal data from multiple sources</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2460" w:type="dxa"/>
          </w:tcPr>
          <w:p>
            <w:pPr>
              <w:jc w:val="left"/>
              <w:spacing w:lineRule="auto"/>
            </w:pPr>
            <w:r>
              <w:rPr/>
              <w:t xml:space="preserve">EHR and patient submissions</w:t>
            </w: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21</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Processing children's personal data for profiling, automated decision-making or marketing purposes, or offering online services directly to them</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2460" w:type="dxa"/>
          </w:tcPr>
          <w:p/>
        </w:tc>
      </w:tr>
      <w:tr>
        <w:trPr/>
        <w:tc>
          <w:tcPr>
            <w:tcBorders>
              <w:top w:val="single" w:sz="8" w:space="0" w:color="000000"/>
              <w:bottom w:val="single" w:sz="8" w:space="0" w:color="000000"/>
              <w:left w:val="single" w:sz="8" w:space="0" w:color="000000"/>
              <w:right w:val="single" w:sz="8" w:space="0" w:color="000000"/>
            </w:tcBorders>
            <w:vAlign w:val="top"/>
            <w:tcW w:w="870" w:type="dxa"/>
          </w:tcPr>
          <w:p>
            <w:pPr>
              <w:jc w:val="left"/>
              <w:spacing w:lineRule="auto"/>
            </w:pPr>
            <w:r>
              <w:rPr/>
              <w:t xml:space="preserve">22</w:t>
            </w:r>
          </w:p>
        </w:tc>
        <w:tc>
          <w:tcPr>
            <w:tcBorders>
              <w:top w:val="single" w:sz="8" w:space="0" w:color="000000"/>
              <w:bottom w:val="single" w:sz="8" w:space="0" w:color="000000"/>
              <w:left w:val="single" w:sz="8" w:space="0" w:color="000000"/>
              <w:right w:val="single" w:sz="8" w:space="0" w:color="000000"/>
            </w:tcBorders>
            <w:vAlign w:val="top"/>
            <w:tcW w:w="4740" w:type="dxa"/>
          </w:tcPr>
          <w:p>
            <w:pPr>
              <w:jc w:val="left"/>
              <w:spacing w:lineRule="auto"/>
            </w:pPr>
            <w:r>
              <w:rPr/>
              <w:t xml:space="preserve">Processing personal data that could result in a risk of physical harm in the event of a security breach</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2460" w:type="dxa"/>
          </w:tcPr>
          <w:p>
            <w:pPr>
              <w:jc w:val="left"/>
              <w:spacing w:lineRule="auto"/>
            </w:pPr>
            <w:r>
              <w:rPr/>
              <w:t xml:space="preserve">Clinical/health data for vulnerable individuals</w:t>
            </w:r>
          </w:p>
        </w:tc>
      </w:tr>
    </w:tbl>
    <w:p>
      <w:pPr>
        <w:spacing w:lineRule="auto"/>
      </w:pPr>
      <w:r>
        <w:rPr/>
      </w:r>
    </w:p>
    <w:p>
      <w:pPr>
        <w:pStyle w:val="Heading3"/>
        <w:spacing w:lineRule="auto"/>
      </w:pPr>
      <w:hyperlink r:id="rId14"/>
      <w:r>
        <w:rPr>
          <w:b/>
          <w:sz w:val="28"/>
        </w:rPr>
        <w:t xml:space="preserve">Screening outcome</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4652.666666666667"/>
        <w:gridCol w:w="4652.666666666667"/>
        <w:gridCol w:w="4652.666666666667"/>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Outcome</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color w:val="FFFFFF"/>
              </w:rPr>
              <w:t xml:space="preserve">Result</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Triggered (X)</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All answers are 'No'</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rPr>
              <w:t xml:space="preserve">DPIA Not Required</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Two or more 'Yes' answers to Q3–14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rPr>
              <w:t xml:space="preserve">DPIA Required - </w:t>
            </w:r>
            <w:r>
              <w:rPr/>
              <w:t xml:space="preserve">complete section 2 below</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X</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One or more 'Yes' answers to Q15–22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rPr>
              <w:t xml:space="preserve">DPIA Required - </w:t>
            </w:r>
            <w:r>
              <w:rPr/>
              <w:t xml:space="preserve">complete section 2 below</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X</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One or more 'Yes' answers to Q1–14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rPr>
              <w:t xml:space="preserve">DPIA May Be Required</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If DPIA not completed, document the reason here and retain this checklist on file</w:t>
            </w:r>
          </w:p>
        </w:tc>
        <w:tc>
          <w:tcPr>
            <w:tcBorders>
              <w:top w:val="single" w:sz="8" w:space="0" w:color="000000"/>
              <w:bottom w:val="single" w:sz="8" w:space="0" w:color="000000"/>
              <w:left w:val="single" w:sz="8" w:space="0" w:color="000000"/>
              <w:right w:val="single" w:sz="8" w:space="0" w:color="000000"/>
            </w:tcBorders>
            <w:gridSpan w:val="2"/>
            <w:vAlign w:val="top"/>
            <w:tcW w:w="0" w:type="dxa"/>
          </w:tcPr>
          <w:p/>
        </w:tc>
      </w:tr>
    </w:tbl>
    <w:p>
      <w:pPr>
        <w:spacing w:lineRule="auto"/>
      </w:pPr>
      <w:r>
        <w:rPr/>
      </w:r>
    </w:p>
    <w:p>
      <w:pPr>
        <w:pStyle w:val="Heading2"/>
        <w:spacing w:lineRule="auto"/>
      </w:pPr>
      <w:hyperlink r:id="rId15"/>
      <w:r>
        <w:rPr>
          <w:b/>
          <w:sz w:val="36"/>
        </w:rPr>
        <w:t xml:space="preserve">Section 2 — DPIA</w:t>
      </w:r>
    </w:p>
    <w:p>
      <w:pPr>
        <w:pStyle w:val="Heading3"/>
        <w:spacing w:lineRule="auto"/>
      </w:pPr>
      <w:hyperlink r:id="rId16"/>
      <w:r>
        <w:rPr>
          <w:b/>
          <w:sz w:val="28"/>
        </w:rPr>
        <w:t xml:space="preserve">Step 1 — Project details and purpose</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b/>
                <w:color w:val="FFFFFF"/>
              </w:rPr>
              <w:t xml:space="preserve">Field</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Detail</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Project name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Use of Suvera Recall by </w:t>
            </w:r>
            <w:r>
              <w:rPr>
                <w:shd w:val="clear" w:fill="FEFF00"/>
              </w:rPr>
              <w:t xml:space="preserve">[Practice Name]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Project description</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Use of Suvera Recall for long-term condition and medication-monitoring recall, integrated with the practice's EHR (</w:t>
            </w:r>
            <w:r>
              <w:rPr>
                <w:color w:val="000000"/>
                <w:sz w:val="24"/>
                <w:shd w:val="clear" w:fill="FEFF00"/>
              </w:rPr>
              <w:t xml:space="preserve">[EMIS or SystmOne]</w:t>
            </w:r>
            <w:r>
              <w:rPr>
                <w:color w:val="000000"/>
                <w:sz w:val="24"/>
              </w:rPr>
              <w:t xml:space="preserv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Brief reason(s) why a DPIA should be carried out </w:t>
            </w:r>
            <w:r>
              <w:rPr>
                <w:color w:val="000000"/>
                <w:sz w:val="24"/>
              </w:rPr>
              <w:t xml:space="preserve">(summarise Section 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See Section 1 screening outcome above.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Name of Project Owner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Name of DPO</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Name of CSO </w:t>
            </w:r>
            <w:r>
              <w:rPr>
                <w:color w:val="000000"/>
                <w:sz w:val="24"/>
              </w:rPr>
              <w:t xml:space="preserve">(if applicable)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Date DPIA started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bl>
    <w:p>
      <w:pPr>
        <w:spacing w:lineRule="auto"/>
      </w:pPr>
      <w:r>
        <w:rPr/>
      </w:r>
    </w:p>
    <w:p>
      <w:pPr>
        <w:pStyle w:val="Heading3"/>
        <w:spacing w:lineRule="auto"/>
      </w:pPr>
      <w:hyperlink r:id="rId17"/>
      <w:r>
        <w:rPr>
          <w:b/>
          <w:sz w:val="28"/>
        </w:rPr>
        <w:t xml:space="preserve">Step 2 — Describe the processing</w:t>
      </w:r>
    </w:p>
    <w:p>
      <w:pPr>
        <w:spacing w:lineRule="auto"/>
      </w:pPr>
      <w:r>
        <w:rPr>
          <w:b/>
          <w:sz w:val="27"/>
        </w:rPr>
        <w:t xml:space="preserve">Nature of the data</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Question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Response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personal data will be processed?</w:t>
            </w:r>
          </w:p>
        </w:tc>
        <w:tc>
          <w:tcPr>
            <w:tcBorders>
              <w:top w:val="single" w:sz="8" w:space="0" w:color="000000"/>
              <w:bottom w:val="single" w:sz="8" w:space="0" w:color="000000"/>
              <w:left w:val="single" w:sz="8" w:space="0" w:color="000000"/>
              <w:right w:val="single" w:sz="8" w:space="0" w:color="000000"/>
            </w:tcBorders>
            <w:vAlign w:val="top"/>
            <w:tcW w:w="0" w:type="dxa"/>
          </w:tcPr>
          <w:p>
            <w:pPr>
              <w:jc w:val="both"/>
              <w:spacing w:lineRule="auto"/>
            </w:pPr>
            <w:r>
              <w:rPr>
                <w:sz w:val="24"/>
              </w:rPr>
              <w:t xml:space="preserve">Data on the patients:</w:t>
            </w:r>
          </w:p>
          <w:p>
            <w:pPr>
              <w:numPr>
                <w:ilvl w:val="0"/>
                <w:numId w:val="1"/>
              </w:numPr>
              <w:spacing w:lineRule="auto"/>
            </w:pPr>
            <w:r>
              <w:rPr>
                <w:sz w:val="24"/>
              </w:rPr>
              <w:t xml:space="preserve">Patient demographics</w:t>
            </w:r>
          </w:p>
          <w:p>
            <w:pPr>
              <w:numPr>
                <w:ilvl w:val="1"/>
                <w:numId w:val="2"/>
              </w:numPr>
              <w:spacing w:lineRule="auto"/>
            </w:pPr>
            <w:r>
              <w:rPr>
                <w:sz w:val="24"/>
              </w:rPr>
              <w:t xml:space="preserve">Name</w:t>
            </w:r>
          </w:p>
          <w:p>
            <w:pPr>
              <w:numPr>
                <w:ilvl w:val="1"/>
                <w:numId w:val="2"/>
              </w:numPr>
              <w:spacing w:lineRule="auto"/>
            </w:pPr>
            <w:r>
              <w:rPr>
                <w:sz w:val="24"/>
              </w:rPr>
              <w:t xml:space="preserve">Date of birth and death</w:t>
            </w:r>
          </w:p>
          <w:p>
            <w:pPr>
              <w:numPr>
                <w:ilvl w:val="1"/>
                <w:numId w:val="2"/>
              </w:numPr>
              <w:spacing w:lineRule="auto"/>
            </w:pPr>
            <w:r>
              <w:rPr>
                <w:sz w:val="24"/>
              </w:rPr>
              <w:t xml:space="preserve">Address</w:t>
            </w:r>
          </w:p>
          <w:p>
            <w:pPr>
              <w:numPr>
                <w:ilvl w:val="1"/>
                <w:numId w:val="2"/>
              </w:numPr>
              <w:spacing w:lineRule="auto"/>
            </w:pPr>
            <w:r>
              <w:rPr>
                <w:sz w:val="24"/>
              </w:rPr>
              <w:t xml:space="preserve">Gender</w:t>
            </w:r>
          </w:p>
          <w:p>
            <w:pPr>
              <w:numPr>
                <w:ilvl w:val="1"/>
                <w:numId w:val="2"/>
              </w:numPr>
              <w:spacing w:lineRule="auto"/>
            </w:pPr>
            <w:r>
              <w:rPr>
                <w:sz w:val="24"/>
              </w:rPr>
              <w:t xml:space="preserve">Contact information</w:t>
            </w:r>
          </w:p>
          <w:p>
            <w:pPr>
              <w:numPr>
                <w:ilvl w:val="1"/>
                <w:numId w:val="2"/>
              </w:numPr>
              <w:spacing w:lineRule="auto"/>
            </w:pPr>
            <w:r>
              <w:rPr>
                <w:sz w:val="24"/>
              </w:rPr>
              <w:t xml:space="preserve">Other external identifiers such as their NHS Number</w:t>
            </w:r>
          </w:p>
          <w:p>
            <w:pPr>
              <w:numPr>
                <w:ilvl w:val="1"/>
                <w:numId w:val="2"/>
              </w:numPr>
              <w:spacing w:lineRule="auto"/>
            </w:pPr>
            <w:r>
              <w:rPr>
                <w:sz w:val="24"/>
              </w:rPr>
              <w:t xml:space="preserve">Registered GP Practice</w:t>
            </w:r>
          </w:p>
          <w:p>
            <w:pPr>
              <w:numPr>
                <w:ilvl w:val="1"/>
                <w:numId w:val="2"/>
              </w:numPr>
              <w:spacing w:lineRule="auto"/>
            </w:pPr>
            <w:r>
              <w:rPr/>
              <w:t xml:space="preserve">P</w:t>
            </w:r>
            <w:r>
              <w:rPr>
                <w:sz w:val="24"/>
              </w:rPr>
              <w:t xml:space="preserve">preferred language</w:t>
            </w:r>
          </w:p>
          <w:p>
            <w:pPr>
              <w:numPr>
                <w:ilvl w:val="1"/>
                <w:numId w:val="2"/>
              </w:numPr>
              <w:spacing w:lineRule="auto"/>
            </w:pPr>
            <w:r>
              <w:rPr>
                <w:sz w:val="24"/>
              </w:rPr>
              <w:t xml:space="preserve">Ethnicity</w:t>
            </w:r>
          </w:p>
          <w:p>
            <w:pPr>
              <w:numPr>
                <w:ilvl w:val="0"/>
                <w:numId w:val="1"/>
              </w:numPr>
              <w:spacing w:lineRule="auto"/>
            </w:pPr>
            <w:r>
              <w:rPr>
                <w:sz w:val="24"/>
              </w:rPr>
              <w:t xml:space="preserve">Clinical Data</w:t>
            </w:r>
          </w:p>
          <w:p>
            <w:pPr>
              <w:numPr>
                <w:ilvl w:val="1"/>
                <w:numId w:val="3"/>
              </w:numPr>
              <w:spacing w:lineRule="auto"/>
            </w:pPr>
            <w:r>
              <w:rPr>
                <w:sz w:val="24"/>
              </w:rPr>
              <w:t xml:space="preserve">Conditions</w:t>
            </w:r>
          </w:p>
          <w:p>
            <w:pPr>
              <w:numPr>
                <w:ilvl w:val="1"/>
                <w:numId w:val="3"/>
              </w:numPr>
              <w:spacing w:lineRule="auto"/>
            </w:pPr>
            <w:r>
              <w:rPr>
                <w:sz w:val="24"/>
              </w:rPr>
              <w:t xml:space="preserve">Consultations</w:t>
            </w:r>
          </w:p>
          <w:p>
            <w:pPr>
              <w:numPr>
                <w:ilvl w:val="1"/>
                <w:numId w:val="3"/>
              </w:numPr>
              <w:spacing w:lineRule="auto"/>
            </w:pPr>
            <w:r>
              <w:rPr>
                <w:sz w:val="24"/>
              </w:rPr>
              <w:t xml:space="preserve">Clinical readings - e.g. blood pressure, results of blood and urine tests</w:t>
            </w:r>
          </w:p>
          <w:p>
            <w:pPr>
              <w:numPr>
                <w:ilvl w:val="1"/>
                <w:numId w:val="3"/>
              </w:numPr>
              <w:spacing w:lineRule="auto"/>
            </w:pPr>
            <w:r>
              <w:rPr>
                <w:sz w:val="24"/>
              </w:rPr>
              <w:t xml:space="preserve">Questionnaires</w:t>
            </w:r>
          </w:p>
          <w:p>
            <w:pPr>
              <w:numPr>
                <w:ilvl w:val="1"/>
                <w:numId w:val="3"/>
              </w:numPr>
              <w:spacing w:lineRule="auto"/>
            </w:pPr>
            <w:r>
              <w:rPr>
                <w:sz w:val="24"/>
              </w:rPr>
              <w:t xml:space="preserve">Prescriptions</w:t>
            </w:r>
          </w:p>
          <w:p>
            <w:pPr>
              <w:numPr>
                <w:ilvl w:val="1"/>
                <w:numId w:val="3"/>
              </w:numPr>
              <w:spacing w:lineRule="auto"/>
            </w:pPr>
            <w:r>
              <w:rPr>
                <w:sz w:val="24"/>
              </w:rPr>
              <w:t xml:space="preserve">Medication issues</w:t>
            </w:r>
          </w:p>
          <w:p>
            <w:pPr>
              <w:numPr>
                <w:ilvl w:val="1"/>
                <w:numId w:val="3"/>
              </w:numPr>
              <w:spacing w:lineRule="auto"/>
            </w:pPr>
            <w:r>
              <w:rPr/>
              <w:t xml:space="preserve">D</w:t>
            </w:r>
            <w:r>
              <w:rPr>
                <w:sz w:val="24"/>
              </w:rPr>
              <w:t xml:space="preserve">ocuments - where sent via Suvera</w:t>
            </w:r>
          </w:p>
          <w:p>
            <w:pPr>
              <w:numPr>
                <w:ilvl w:val="1"/>
                <w:numId w:val="3"/>
              </w:numPr>
              <w:spacing w:lineRule="auto"/>
            </w:pPr>
            <w:r>
              <w:rPr>
                <w:sz w:val="24"/>
              </w:rPr>
              <w:t xml:space="preserve">Tasks</w:t>
            </w:r>
          </w:p>
          <w:p>
            <w:pPr>
              <w:numPr>
                <w:ilvl w:val="1"/>
                <w:numId w:val="3"/>
              </w:numPr>
              <w:spacing w:lineRule="auto"/>
            </w:pPr>
            <w:r>
              <w:rPr>
                <w:sz w:val="24"/>
              </w:rPr>
              <w:t xml:space="preserve">Appointments</w:t>
            </w:r>
          </w:p>
          <w:p>
            <w:pPr>
              <w:jc w:val="both"/>
              <w:spacing w:lineRule="auto"/>
            </w:pPr>
            <w:r>
              <w:rPr>
                <w:sz w:val="24"/>
              </w:rPr>
              <w:t xml:space="preserve">Data on practice staff</w:t>
            </w:r>
          </w:p>
          <w:p>
            <w:pPr>
              <w:numPr>
                <w:ilvl w:val="0"/>
                <w:numId w:val="4"/>
              </w:numPr>
              <w:spacing w:lineRule="auto"/>
            </w:pPr>
            <w:r>
              <w:rPr>
                <w:sz w:val="24"/>
              </w:rPr>
              <w:t xml:space="preserve">Name</w:t>
            </w:r>
          </w:p>
          <w:p>
            <w:pPr>
              <w:numPr>
                <w:ilvl w:val="0"/>
                <w:numId w:val="4"/>
              </w:numPr>
              <w:spacing w:lineRule="auto"/>
            </w:pPr>
            <w:r>
              <w:rPr>
                <w:sz w:val="24"/>
              </w:rPr>
              <w:t xml:space="preserve">Role</w:t>
            </w:r>
          </w:p>
          <w:p>
            <w:pPr>
              <w:numPr>
                <w:ilvl w:val="0"/>
                <w:numId w:val="4"/>
              </w:numPr>
              <w:spacing w:lineRule="auto"/>
            </w:pPr>
            <w:r>
              <w:rPr>
                <w:sz w:val="24"/>
              </w:rPr>
              <w:t xml:space="preserve">Organisation</w:t>
            </w:r>
          </w:p>
          <w:p>
            <w:pPr>
              <w:numPr>
                <w:ilvl w:val="0"/>
                <w:numId w:val="4"/>
              </w:numPr>
              <w:spacing w:lineRule="auto"/>
            </w:pPr>
            <w:r>
              <w:rPr>
                <w:sz w:val="24"/>
              </w:rPr>
              <w:t xml:space="preserve">Note this will include all staff who have interacted with any patient at any time. This will include staff who are no longer employed by the organisation as well as staff at other organisations where data has been imported over GP-to-GP</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it include special category data (e.g. health, biometric, genetic)?</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Yes - health data</w:t>
            </w:r>
          </w:p>
          <w:p>
            <w:pPr>
              <w:jc w:val="left"/>
              <w:spacing w:lineRule="auto"/>
            </w:pPr>
            <w:r>
              <w:rPr>
                <w:color w:val="000000"/>
                <w:sz w:val="24"/>
                <w:shd w:val="clear" w:fill="FEFF00"/>
              </w:rPr>
              <w:t xml:space="preserve">[Delete if SystmOne - EMIS IM1 bulk extracts automatically exclude SNOMED coded entries that match the NHS sensitive data lists. This may be updated by the NHS in the future, but currently includes gender related issues, termination of pregnancy, assisted fertilisation and sexually transmitted diseases. ]</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it include criminal offence data?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No</w:t>
            </w:r>
          </w:p>
        </w:tc>
      </w:tr>
    </w:tbl>
    <w:p>
      <w:pPr>
        <w:spacing w:lineRule="auto"/>
      </w:pPr>
      <w:r>
        <w:rPr/>
      </w:r>
    </w:p>
    <w:p>
      <w:pPr>
        <w:spacing w:lineRule="auto"/>
      </w:pPr>
      <w:r>
        <w:rPr>
          <w:b/>
          <w:sz w:val="27"/>
        </w:rPr>
        <w:t xml:space="preserve">How the processing works</w:t>
      </w:r>
    </w:p>
    <w:p>
      <w:pPr>
        <w:spacing w:lineRule="auto"/>
      </w:pPr>
      <w:r>
        <w:rPr>
          <w:i/>
        </w:rPr>
        <w:t xml:space="preserve">Describe step by step what will happen: how data is collected, where it flows, who can access it, and where it is stored. If a system is named, specify its hosting location (e.g. AWS UK, GCP Europe).</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gridSpan w:val="2"/>
            <w:vAlign w:val="top"/>
            <w:tcW w:w="13170" w:type="dxa"/>
          </w:tcPr>
          <w:p>
            <w:pPr>
              <w:jc w:val="left"/>
              <w:spacing w:lineRule="auto"/>
            </w:pPr>
            <w:r>
              <w:rPr>
                <w:b/>
              </w:rPr>
              <w:t xml:space="preserve">Data Sources</w:t>
            </w:r>
          </w:p>
          <w:p>
            <w:pPr>
              <w:jc w:val="left"/>
              <w:spacing w:lineRule="auto"/>
            </w:pPr>
            <w:r>
              <w:rPr/>
              <w:t xml:space="preserve">Data is collected from several sources:</w:t>
            </w:r>
          </w:p>
          <w:p>
            <w:pPr>
              <w:numPr>
                <w:ilvl w:val="0"/>
                <w:numId w:val="5"/>
              </w:numPr>
              <w:spacing w:lineRule="auto"/>
            </w:pPr>
            <w:r>
              <w:rPr/>
              <w:t xml:space="preserve">EHR integration:</w:t>
            </w:r>
          </w:p>
          <w:p>
            <w:pPr>
              <w:numPr>
                <w:ilvl w:val="1"/>
                <w:numId w:val="6"/>
              </w:numPr>
              <w:spacing w:lineRule="auto"/>
            </w:pPr>
            <w:r>
              <w:rPr/>
              <w:t xml:space="preserve">IM1 Bulk is used to extract the patient data listed above. This data is refreshed automatically daily.</w:t>
            </w:r>
          </w:p>
          <w:p>
            <w:pPr>
              <w:numPr>
                <w:ilvl w:val="0"/>
                <w:numId w:val="5"/>
              </w:numPr>
              <w:spacing w:lineRule="auto"/>
            </w:pPr>
            <w:r>
              <w:rPr/>
              <w:t xml:space="preserve">Suvera Platform:</w:t>
            </w:r>
          </w:p>
          <w:p>
            <w:pPr>
              <w:numPr>
                <w:ilvl w:val="1"/>
                <w:numId w:val="7"/>
              </w:numPr>
              <w:spacing w:lineRule="auto"/>
            </w:pPr>
            <w:r>
              <w:rPr/>
              <w:t xml:space="preserve">Recall: Users can send SMS/emails, upload files to send to patients and request blood tests or questionnaires to be completed</w:t>
            </w:r>
          </w:p>
          <w:p>
            <w:pPr>
              <w:numPr>
                <w:ilvl w:val="1"/>
                <w:numId w:val="7"/>
              </w:numPr>
              <w:spacing w:lineRule="auto"/>
            </w:pPr>
            <w:r>
              <w:rPr/>
              <w:t xml:space="preserve">Patient: Patients can complete questionnaires and book or reschedule appointments.</w:t>
            </w:r>
          </w:p>
          <w:p>
            <w:pPr>
              <w:jc w:val="left"/>
              <w:spacing w:lineRule="auto"/>
            </w:pPr>
            <w:r>
              <w:rPr>
                <w:b/>
              </w:rPr>
              <w:t xml:space="preserve">Data Processing</w:t>
            </w:r>
          </w:p>
          <w:p>
            <w:pPr>
              <w:jc w:val="left"/>
              <w:spacing w:lineRule="auto"/>
            </w:pPr>
            <w:r>
              <w:rPr/>
              <w:t xml:space="preserve">Once collected, data is processed as follows:</w:t>
            </w:r>
          </w:p>
          <w:p>
            <w:pPr>
              <w:numPr>
                <w:ilvl w:val="0"/>
                <w:numId w:val="8"/>
              </w:numPr>
              <w:spacing w:lineRule="auto"/>
            </w:pPr>
            <w:r>
              <w:rPr/>
              <w:t xml:space="preserve">Data from EHRs is transformed into FHIR resources and stored in MongoDB</w:t>
            </w:r>
          </w:p>
          <w:p>
            <w:pPr>
              <w:numPr>
                <w:ilvl w:val="0"/>
                <w:numId w:val="8"/>
              </w:numPr>
              <w:spacing w:lineRule="auto"/>
            </w:pPr>
            <w:r>
              <w:rPr/>
              <w:t xml:space="preserve">EHR data is further processed to resolve:</w:t>
            </w:r>
          </w:p>
          <w:p>
            <w:pPr>
              <w:numPr>
                <w:ilvl w:val="1"/>
                <w:numId w:val="9"/>
              </w:numPr>
              <w:spacing w:lineRule="auto"/>
            </w:pPr>
            <w:r>
              <w:rPr/>
              <w:t xml:space="preserve">QOF and LES target status per patient - using published business rules</w:t>
            </w:r>
          </w:p>
          <w:p>
            <w:pPr>
              <w:numPr>
                <w:ilvl w:val="1"/>
                <w:numId w:val="9"/>
              </w:numPr>
              <w:spacing w:lineRule="auto"/>
            </w:pPr>
            <w:r>
              <w:rPr/>
              <w:t xml:space="preserve">Investigation and review requirements and status - using rule-based clinical guidance</w:t>
            </w:r>
          </w:p>
          <w:p>
            <w:pPr>
              <w:numPr>
                <w:ilvl w:val="2"/>
                <w:numId w:val="10"/>
              </w:numPr>
              <w:spacing w:lineRule="auto"/>
            </w:pPr>
            <w:hyperlink r:id="rId18">
              <w:r>
                <w:rPr>
                  <w:rStyle w:val="Hyperlink"/>
                </w:rPr>
                <w:t xml:space="preserve">https://support.suvera.com/en/articles/18962-how-we-calculate-which-investigations-are-due-now</w:t>
              </w:r>
            </w:hyperlink>
          </w:p>
          <w:p>
            <w:pPr>
              <w:numPr>
                <w:ilvl w:val="0"/>
                <w:numId w:val="8"/>
              </w:numPr>
              <w:spacing w:lineRule="auto"/>
            </w:pPr>
            <w:r>
              <w:rPr/>
              <w:t xml:space="preserve">All data submitted through the platform is also stored in MongoDB.</w:t>
            </w:r>
          </w:p>
          <w:p>
            <w:pPr>
              <w:numPr>
                <w:ilvl w:val="0"/>
                <w:numId w:val="8"/>
              </w:numPr>
              <w:spacing w:lineRule="auto"/>
            </w:pPr>
            <w:r>
              <w:rPr/>
              <w:t xml:space="preserve">All data is encrypted using AES-256 at rest and TLS1.2+ in transit.</w:t>
            </w:r>
          </w:p>
          <w:p>
            <w:pPr>
              <w:numPr>
                <w:ilvl w:val="0"/>
                <w:numId w:val="8"/>
              </w:numPr>
              <w:spacing w:lineRule="auto"/>
            </w:pPr>
            <w:r>
              <w:rPr/>
              <w:t xml:space="preserve">Queries are run against this data to display relevant information to users of the Platform</w:t>
            </w:r>
          </w:p>
          <w:p>
            <w:pPr>
              <w:jc w:val="left"/>
              <w:spacing w:lineRule="auto"/>
            </w:pPr>
            <w:r>
              <w:rPr>
                <w:b/>
              </w:rPr>
              <w:t xml:space="preserve">User Led Actions</w:t>
            </w:r>
          </w:p>
          <w:p>
            <w:pPr>
              <w:numPr>
                <w:ilvl w:val="0"/>
                <w:numId w:val="11"/>
              </w:numPr>
              <w:spacing w:lineRule="auto"/>
            </w:pPr>
            <w:r>
              <w:rPr/>
              <w:t xml:space="preserve">Users can recall patients for long term condition or medication monitoring requirements. This may be via SMS/email within the platform, or via letter externally and then audited on Recall. Recalls may include appointment booking links or questionnaires as appropriate.</w:t>
            </w:r>
          </w:p>
          <w:p>
            <w:pPr>
              <w:numPr>
                <w:ilvl w:val="0"/>
                <w:numId w:val="11"/>
              </w:numPr>
              <w:spacing w:lineRule="auto"/>
            </w:pPr>
            <w:r>
              <w:rPr/>
              <w:t xml:space="preserve">Patients can action these requests via the Patient Web App.</w:t>
            </w:r>
          </w:p>
          <w:p>
            <w:pPr>
              <w:numPr>
                <w:ilvl w:val="0"/>
                <w:numId w:val="11"/>
              </w:numPr>
              <w:spacing w:lineRule="auto"/>
            </w:pPr>
            <w:r>
              <w:rPr/>
              <w:t xml:space="preserve">Questionnaire results can be reviewed and filed to the EHR from the Recall Inbox.</w:t>
            </w:r>
          </w:p>
          <w:p>
            <w:pPr>
              <w:numPr>
                <w:ilvl w:val="0"/>
                <w:numId w:val="11"/>
              </w:numPr>
              <w:spacing w:lineRule="auto"/>
            </w:pPr>
            <w:r>
              <w:rPr/>
              <w:t xml:space="preserve">All communications sent from the platform and data submitted by patients are stored in MongoDB.</w:t>
            </w:r>
          </w:p>
          <w:p>
            <w:pPr>
              <w:jc w:val="left"/>
              <w:spacing w:lineRule="auto"/>
            </w:pPr>
            <w:r>
              <w:rPr>
                <w:b/>
              </w:rPr>
              <w:t xml:space="preserve">EHR Synchronisation</w:t>
            </w:r>
          </w:p>
          <w:p>
            <w:pPr>
              <w:numPr>
                <w:ilvl w:val="0"/>
                <w:numId w:val="12"/>
              </w:numPr>
              <w:spacing w:lineRule="auto"/>
            </w:pPr>
            <w:r>
              <w:rPr/>
              <w:t xml:space="preserve">All interactions on Recall are saved in MongoDB and written to EHRs via IM1 integration.</w:t>
            </w:r>
          </w:p>
          <w:p>
            <w:pPr>
              <w:numPr>
                <w:ilvl w:val="0"/>
                <w:numId w:val="12"/>
              </w:numPr>
              <w:spacing w:lineRule="auto"/>
            </w:pPr>
            <w:r>
              <w:rPr/>
              <w:t xml:space="preserve">Data submitted by patients is stored in MongoDB, and filed to EHRs at the point of clinical review in Recall</w:t>
            </w:r>
          </w:p>
          <w:p>
            <w:pPr>
              <w:numPr>
                <w:ilvl w:val="0"/>
                <w:numId w:val="12"/>
              </w:numPr>
              <w:spacing w:lineRule="auto"/>
            </w:pPr>
            <w:r>
              <w:rPr/>
              <w:t xml:space="preserve">Files sent to patients are stored in AWS S3</w:t>
            </w:r>
          </w:p>
          <w:p>
            <w:pPr>
              <w:jc w:val="left"/>
              <w:spacing w:lineRule="auto"/>
            </w:pPr>
            <w:r>
              <w:rPr>
                <w:b/>
              </w:rPr>
              <w:t xml:space="preserve">Automations </w:t>
            </w:r>
            <w:r>
              <w:rPr/>
              <w:t xml:space="preserve">are applied to the data to:</w:t>
            </w:r>
          </w:p>
          <w:p>
            <w:pPr>
              <w:numPr>
                <w:ilvl w:val="0"/>
                <w:numId w:val="13"/>
              </w:numPr>
              <w:spacing w:lineRule="auto"/>
            </w:pPr>
            <w:r>
              <w:rPr/>
              <w:t xml:space="preserve">Alert within the patient web app for patients who have submitted stage 3 BP readings to seek urgent medical advice; and classify submissions within the inbox based on standardised thresholds.</w:t>
            </w:r>
          </w:p>
          <w:p>
            <w:pPr>
              <w:numPr>
                <w:ilvl w:val="0"/>
                <w:numId w:val="13"/>
              </w:numPr>
              <w:spacing w:lineRule="auto"/>
            </w:pPr>
            <w:r>
              <w:rPr/>
              <w:t xml:space="preserve">Remind patients to submit outstanding data</w:t>
            </w:r>
          </w:p>
          <w:p>
            <w:pPr>
              <w:jc w:val="left"/>
              <w:spacing w:lineRule="auto"/>
            </w:pPr>
            <w:r>
              <w:rPr>
                <w:b/>
              </w:rPr>
              <w:t xml:space="preserve">Data Retention</w:t>
            </w:r>
          </w:p>
          <w:p>
            <w:pPr>
              <w:numPr>
                <w:ilvl w:val="0"/>
                <w:numId w:val="14"/>
              </w:numPr>
              <w:spacing w:lineRule="auto"/>
            </w:pPr>
            <w:r>
              <w:rPr/>
              <w:t xml:space="preserve">Data is retained for the duration of the active contract with Suvera.</w:t>
            </w:r>
          </w:p>
          <w:p>
            <w:pPr>
              <w:numPr>
                <w:ilvl w:val="0"/>
                <w:numId w:val="14"/>
              </w:numPr>
              <w:spacing w:lineRule="auto"/>
            </w:pPr>
            <w:r>
              <w:rPr/>
              <w:t xml:space="preserve">Following contract termination, data is held for eight years for auditing purposes unless the practice instructs Suvera to delete it sooner.</w:t>
            </w:r>
          </w:p>
        </w:tc>
      </w:tr>
    </w:tbl>
    <w:p>
      <w:pPr>
        <w:spacing w:lineRule="auto"/>
      </w:pPr>
      <w:r>
        <w:rPr/>
      </w:r>
    </w:p>
    <w:p>
      <w:pPr>
        <w:pStyle w:val="Heading2"/>
        <w:spacing w:lineRule="auto"/>
      </w:pPr>
      <w:hyperlink r:id="rId19"/>
      <w:r>
        <w:rPr>
          <w:b/>
          <w:sz w:val="27"/>
        </w:rPr>
        <w:t xml:space="preserve">Data scope and context</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[eQuestion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Response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Where will the data be hosted/located?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Primary database and cloud computing hosted within London (AWS eu-west-2).</w:t>
            </w:r>
          </w:p>
          <w:p>
            <w:pPr>
              <w:jc w:val="left"/>
              <w:spacing w:lineRule="auto"/>
            </w:pPr>
            <w:r>
              <w:rPr/>
              <w:t xml:space="preserve">See Suvera DPA for full list of their sub-processors. See Section 4 regarding transfers under adequacy or other GDPR safeguards.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Where are the companies based that you have signed processor contracts with?</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UK</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geographical area does it cover?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UK</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How much data will be collected and used? (estimated number of data points)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Approximately 1,000 to 5,000 data points per patient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How many individuals are affected? (current figures and projections)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[Insert number of registered patients]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is the nature of the practice's relationship with the individuals? (controller/processor)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The practice is the data controller; the individuals are its registered patients. Suvera is the practice's data processor for Recall.</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How much control will data subjects have over their data?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Patients can exercise all data subject rights (access, rectification, erasure) directly with the practice as controller. Suvera will assist the practice in fulfilling these obligations where the request relates to Recall, in line with the DPA.</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Would data subjects expect you to use their data in this way?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Patients expect to be recalled for long term conditions and medication monitoring. They expect the GP practice to use software to coordinate this process.</w:t>
            </w:r>
          </w:p>
          <w:p>
            <w:pPr>
              <w:jc w:val="left"/>
              <w:spacing w:lineRule="auto"/>
            </w:pPr>
            <w:r>
              <w:rPr>
                <w:color w:val="000000"/>
                <w:sz w:val="24"/>
                <w:shd w:val="clear" w:fill="FEFF00"/>
              </w:rPr>
              <w:t xml:space="preserve">[Confirm: The practice's privacy notice has been updated including use of the platform and Suvera's role as processor.]</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data include children or other vulnerable groups?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Yes - the registered patient list includes NHS patients with long-term conditions, taking medications requiring monitoring</w:t>
            </w:r>
            <w:r>
              <w:rPr>
                <w:color w:val="000000"/>
                <w:sz w:val="24"/>
                <w:shd w:val="clear" w:fill="FFFFFF"/>
              </w:rPr>
              <w:t xml:space="preserve">and children</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Are there prior concerns over this type of processing or known security flaws in the system?</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No</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this a new or different way of working?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Yes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is the current state of technology in this area?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Established</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the practice signed up to any approved code of conduct or certification scheme relevant to this processing?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[Insert if applicable]</w:t>
            </w:r>
          </w:p>
        </w:tc>
      </w:tr>
    </w:tbl>
    <w:p>
      <w:pPr>
        <w:spacing w:lineRule="auto"/>
      </w:pPr>
      <w:r>
        <w:rPr/>
      </w:r>
    </w:p>
    <w:p>
      <w:pPr>
        <w:spacing w:lineRule="auto"/>
      </w:pPr>
      <w:r>
        <w:rPr/>
      </w:r>
    </w:p>
    <w:p>
      <w:pPr>
        <w:spacing w:lineRule="auto"/>
      </w:pPr>
      <w:r>
        <w:rPr>
          <w:b/>
          <w:sz w:val="27"/>
        </w:rPr>
        <w:t xml:space="preserve">Purposes of the processing</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Question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Response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do you want to achieve with this project?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[Review/adjust: Using Suvera Recall the practice aims to recall patients with long-term conditions and medication monitoring requirements more effectively. Recall provides clear, up-to-date data across all of a patient's monitoring requirements, including outstanding investigations, reviews and progress against NHS targets. This reduces administrative and clinical burden by minimising time spent identifying and contacting patients and consolidates recalls so each patient is contacted once for all their conditions. Integration with the practice's EHR maintains continuity of care.]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is the intended effect on individuals?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[Review/adjust: Recall helps the practice manage long-term conditions and medication monitoring through a single platform, prioritise patient care, reduce administrative burden and save clinical time. For patients, this means all their long-term conditions and medications are reviewed holistically in one consolidated process, leading to better outcomes, fewer unnecessary appointments and fewer duplicate investigations such as blood tests.]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are the benefits of the processing for the practice and more broadly?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[Review/adjust: Read/write integration with the EHR ensures care is provided with full clinical context and patients are viewed holistically rather than for a single condition. Automations reduce administrative burden, improve the accuracy of recall suggestions and help identify high-risk patients quickly so they can be managed appropriately.]</w:t>
            </w:r>
          </w:p>
        </w:tc>
      </w:tr>
    </w:tbl>
    <w:p>
      <w:pPr>
        <w:spacing w:lineRule="auto"/>
      </w:pPr>
      <w:r>
        <w:rPr/>
      </w:r>
    </w:p>
    <w:p>
      <w:pPr>
        <w:pStyle w:val="Heading2"/>
        <w:spacing w:lineRule="auto"/>
      </w:pPr>
      <w:hyperlink r:id="rId20"/>
      <w:r>
        <w:rPr>
          <w:b/>
          <w:sz w:val="36"/>
        </w:rPr>
        <w:t xml:space="preserve">Step 3 — Consultation</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4652.666666666667"/>
        <w:gridCol w:w="4652.666666666667"/>
        <w:gridCol w:w="4652.666666666667"/>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eStakeholder</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center"/>
              <w:spacing w:lineRule="auto"/>
            </w:pPr>
            <w:r>
              <w:rPr>
                <w:color w:val="FFFFFF"/>
              </w:rPr>
              <w:t xml:space="preserve">Consulted? ( Y / N / N/A )</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Feedback summary</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DPO</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Clinical Safety Officer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IT / Security Lead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Data subjects or representatives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Suvera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Yes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Suvera has been involved in the drafting of this DPIA and provided details on relevant technical and organisational measures to enable impact and risk assessment. No concerns raised.</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External experts/industry specialists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Yes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Suvera's internal DPIA, and DPA have been reviewed by an external specialist (Whitaker Solutions Ltd) with no concerns raised.</w:t>
            </w:r>
          </w:p>
          <w:p>
            <w:pPr>
              <w:jc w:val="left"/>
              <w:spacing w:lineRule="auto"/>
            </w:pPr>
            <w:r>
              <w:rPr>
                <w:color w:val="000000"/>
                <w:sz w:val="24"/>
              </w:rPr>
              <w:t xml:space="preserve">Suvera's Supplier Conformance Assessment List (SCAL) has been reviewed and approved by NHS, Optum and TPP as part of the IM1 assurance process.</w:t>
            </w:r>
          </w:p>
          <w:p>
            <w:pPr>
              <w:jc w:val="left"/>
              <w:spacing w:lineRule="auto"/>
            </w:pPr>
            <w:r>
              <w:rPr>
                <w:shd w:val="clear" w:fill="FEFF00"/>
              </w:rPr>
              <w:t xml:space="preserve">[Insert any additional expert review]</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Other internal stakeholders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hd w:val="clear" w:fill="FEFF00"/>
              </w:rPr>
              <w:t xml:space="preserve">[Insert]</w:t>
            </w:r>
          </w:p>
        </w:tc>
      </w:tr>
    </w:tbl>
    <w:p>
      <w:pPr>
        <w:spacing w:lineRule="auto"/>
      </w:pPr>
      <w:r>
        <w:rPr/>
      </w:r>
    </w:p>
    <w:p>
      <w:pPr>
        <w:spacing w:lineRule="auto"/>
      </w:pPr>
      <w:r>
        <w:rPr>
          <w:i/>
        </w:rPr>
        <w:t xml:space="preserve">If consultation with data subjects was not possible or proportionate, document the reasons here:</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gridSpan w:val="2"/>
            <w:vAlign w:val="top"/>
            <w:tcW w:w="10020" w:type="dxa"/>
          </w:tcPr>
          <w:p>
            <w:pPr>
              <w:jc w:val="left"/>
              <w:spacing w:lineRule="auto"/>
            </w:pPr>
            <w:r>
              <w:rPr>
                <w:shd w:val="clear" w:fill="FEFF00"/>
              </w:rPr>
              <w:t xml:space="preserve">[Enter reasons here]</w:t>
            </w:r>
          </w:p>
        </w:tc>
      </w:tr>
    </w:tbl>
    <w:p>
      <w:pPr>
        <w:spacing w:lineRule="auto"/>
      </w:pPr>
      <w:r>
        <w:rPr/>
      </w:r>
    </w:p>
    <w:p>
      <w:pPr>
        <w:pStyle w:val="Heading2"/>
        <w:spacing w:lineRule="auto"/>
      </w:pPr>
      <w:hyperlink r:id="rId21"/>
      <w:r>
        <w:rPr>
          <w:b/>
          <w:sz w:val="36"/>
        </w:rPr>
        <w:t xml:space="preserve">Step 4 — Necessity, proportionality, and compliance</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6979"/>
        <w:gridCol w:w="6979"/>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Question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Response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is the lawful basis for processing?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[Confirm/adjust: Article 6(1)(e) UK GDPR - processing necessary for the performance of a task carried out in the public interest / in the exercise of official authority (provision of health care). Article 9(2)(h) UK GDPR - processing necessary for the provision of health or social care, under a health professional's responsibility.]</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If legitimate interests is the lawful basis, has a Legitimate Interests Assessment been completed? (Attach or link to </w:t>
            </w:r>
            <w:hyperlink r:id="rId22">
              <w:r>
                <w:rPr>
                  <w:rStyle w:val="Hyperlink"/>
                </w:rPr>
                <w:t xml:space="preserve">LIA template</w:t>
              </w:r>
            </w:hyperlink>
            <w:r>
              <w:rPr/>
              <w:t xml:space="preserv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N/A</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processing actually achieve its stated purpose?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Yes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there another way to achieve the same outcome with less privacy impact? If so, why is this approach preferred?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No</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How will function creep be prevented?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4"/>
              </w:rPr>
              <w:t xml:space="preserve">Suvera</w:t>
            </w:r>
            <w:r>
              <w:rPr>
                <w:color w:val="000000"/>
                <w:sz w:val="24"/>
              </w:rPr>
              <w:t xml:space="preserve">: data is only stored and processed for the purposes and processing covered in the DPA and always as a data processor under instruction from the controller. All code changes are peer-reviewed and automatically tested. Clinical product changes are reviewed by Suvera's Clinical Safety Officer.</w:t>
            </w:r>
          </w:p>
          <w:p>
            <w:pPr>
              <w:jc w:val="left"/>
              <w:spacing w:lineRule="auto"/>
            </w:pPr>
            <w:r>
              <w:rPr>
                <w:color w:val="000000"/>
                <w:sz w:val="24"/>
                <w:shd w:val="clear" w:fill="FEFF00"/>
              </w:rPr>
              <w:t xml:space="preserve">[Confirm: </w:t>
            </w:r>
            <w:r>
              <w:rPr>
                <w:b/>
                <w:color w:val="000000"/>
                <w:sz w:val="24"/>
                <w:shd w:val="clear" w:fill="FEFF00"/>
              </w:rPr>
              <w:t xml:space="preserve">Practice</w:t>
            </w:r>
            <w:r>
              <w:rPr>
                <w:color w:val="000000"/>
                <w:sz w:val="24"/>
                <w:shd w:val="clear" w:fill="FEFF00"/>
              </w:rPr>
              <w:t xml:space="preserve">: We only use the Recall module features agreed in our contract with Suvera. This DPIA will be reviewed in the event of any additional modules or functionality being commissioned.]</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How is it ensured that no more data than necessary is being collected?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Only data required to run the Recall platform is processed.</w:t>
            </w:r>
          </w:p>
          <w:p>
            <w:pPr>
              <w:jc w:val="left"/>
              <w:spacing w:lineRule="auto"/>
            </w:pPr>
            <w:r>
              <w:rPr/>
              <w:t xml:space="preserve">As above on function creep, future product capabilities will be reviewed independently including any new data collection requirements.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How will data quality and accuracy be maintained?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Al</w:t>
            </w:r>
            <w:r>
              <w:rPr>
                <w:color w:val="000000"/>
                <w:sz w:val="24"/>
              </w:rPr>
              <w:t xml:space="preserve">l rules applied by the platform can be viewed online and checked manually by staff using the platform. </w:t>
            </w:r>
            <w:hyperlink r:id="rId23">
              <w:r>
                <w:rPr>
                  <w:rStyle w:val="Hyperlink"/>
                  <w:color w:val="000000"/>
                  <w:sz w:val="24"/>
                </w:rPr>
                <w:t xml:space="preserve">https://support.suvera.com/en/articles/18962-how-we-calculate-which-investigations-are-due-now</w:t>
              </w:r>
            </w:hyperlink>
            <w:r>
              <w:rPr>
                <w:color w:val="000000"/>
                <w:sz w:val="24"/>
              </w:rPr>
              <w:t xml:space="preserve"> Any inconsistencies can be raised directly with Suvera for review.</w:t>
            </w:r>
          </w:p>
          <w:p>
            <w:pPr>
              <w:jc w:val="left"/>
              <w:spacing w:lineRule="auto"/>
            </w:pPr>
            <w:r>
              <w:rPr>
                <w:color w:val="000000"/>
                <w:sz w:val="24"/>
              </w:rPr>
              <w:t xml:space="preserve">Additionally, Suvera runs monitoring on the data shared with them to detect missing or malformed data.</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information will be given to individuals? Is the relevant privacy notice in place and up to date?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[Confirm: The practice's privacy notice covers this processing, including use of the Suvera Recall and Suvera's role as processor.]</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What is the retention period? Is it consistent with the practice's Data Retention Schedule?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Data is retained for the duration of the active contract with Suvera, then for 8 years post-termination for audit purposes unless the practice instructs earlier deletion. </w:t>
            </w:r>
            <w:r>
              <w:rPr>
                <w:color w:val="000000"/>
                <w:sz w:val="24"/>
                <w:shd w:val="clear" w:fill="FEFF00"/>
              </w:rPr>
              <w:t xml:space="preserve">[Confirm: This is consistent with the practice's own retention schedule.]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How will data subjects' rights be supported?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As data controller, the practice remains responsible for handling subject access requests and other rights requests relating to Recall data. Suvera will assist in fulfilling these obligations in accordance with the Data Processing Agreement.</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a Data Processing Agreement in place with any new processor?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[Confirm: A Data Processing Agreement is in place with Suvera covering its obligations regarding data protection and security]</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If the practice is a controller, has it been notified of any new sub-processor?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Suvera will notify the practice of any new sub-processor in accordance with the DPA. See Suvera's sub-processor list for the current position.</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Where personal data is transferred outside the UK, confirm either (a) the destination is covered by UK adequacy regulations, or (b) an Article 46 safeguard is in place (IDTA, UK Addendum to EU SCCs, or BCRs) and a Transfer Risk Assessment has been completed.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Suvera is a UK based company. Their primary database and cloud in in AWS eu-west-2 (London, UK).</w:t>
            </w:r>
          </w:p>
          <w:p>
            <w:pPr>
              <w:jc w:val="left"/>
              <w:spacing w:lineRule="auto"/>
            </w:pPr>
            <w:r>
              <w:rPr>
                <w:color w:val="000000"/>
                <w:sz w:val="24"/>
              </w:rPr>
              <w:t xml:space="preserve">See Suvera's documentation for its full sub-processor list. Suvera commits that all international sub-processors operate under UK adequacy regulations, or appropriate UK GDPR safeguards.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ROPA need to be updated to reflect this processing?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shd w:val="clear" w:fill="FEFF00"/>
              </w:rPr>
              <w:t xml:space="preserve">[Confirm: The practice's Record of Processing Activities includes the use of Suvera Recall]</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an Appropriate Policy Document required under DPA 2018 Schedule 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The processing does not fall within the scope of Schedule 1, DPA 2018; therefore, an Appropriate Policy Document is not required.</w:t>
            </w:r>
          </w:p>
        </w:tc>
      </w:tr>
    </w:tbl>
    <w:p>
      <w:pPr>
        <w:spacing w:lineRule="auto"/>
      </w:pPr>
      <w:r>
        <w:rPr/>
      </w:r>
    </w:p>
    <w:p>
      <w:pPr>
        <w:pStyle w:val="Heading2"/>
        <w:spacing w:lineRule="auto"/>
      </w:pPr>
      <w:hyperlink r:id="rId24"/>
      <w:r>
        <w:rPr>
          <w:b/>
          <w:sz w:val="36"/>
        </w:rPr>
        <w:t xml:space="preserve">Technical and security checklist</w:t>
      </w:r>
    </w:p>
    <w:p>
      <w:pPr>
        <w:spacing w:lineRule="auto"/>
      </w:pPr>
      <w:r>
        <w:rPr>
          <w:i/>
        </w:rPr>
        <w:t xml:space="preserve">Complete Y / N / N/A for each item.</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3489.5"/>
        <w:gridCol w:w="3489.5"/>
        <w:gridCol w:w="3489.5"/>
        <w:gridCol w:w="3489.5"/>
      </w:tblGrid>
      <w:tr>
        <w:trPr/>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NN #</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Question</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Y / N / N/A</w:t>
            </w:r>
          </w:p>
        </w:tc>
        <w:tc>
          <w:tcPr>
            <w:tcBorders>
              <w:top w:val="single" w:sz="8" w:space="0" w:color="000000"/>
              <w:bottom w:val="single" w:sz="8" w:space="0" w:color="000000"/>
              <w:left w:val="single" w:sz="8" w:space="0" w:color="000000"/>
              <w:right w:val="single" w:sz="8" w:space="0" w:color="000000"/>
            </w:tcBorders>
            <w:vAlign w:val="top"/>
            <w:shd w:val="clear" w:fill="0C5394"/>
            <w:tcW w:w="0" w:type="dxa"/>
          </w:tcPr>
          <w:p>
            <w:pPr>
              <w:jc w:val="left"/>
              <w:spacing w:lineRule="auto"/>
            </w:pPr>
            <w:r>
              <w:rPr>
                <w:color w:val="FFFFFF"/>
              </w:rPr>
              <w:t xml:space="preserve">Notes</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system/project support pseudonymisation of personal data?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system/project support encryption of personal data at rest?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system/project support encryption of personal data in transit?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Are passwords, MFA measures and cryptographic keys secured with approved cryptographic controls?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Are all backups encrypted?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6</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it documented how the service is installed, deployed and maintained?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7</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Are all abnormal events logged and monitored?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Monitoring is provided by Suvera as part of the service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8</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Is it documented how the system/project is monitored?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9</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it documented how the system is backed up and restored?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Backups are provided by Suvera as part of the service. Additionally, all data is written to the EHR in near real time.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10</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Is it possible to delete backup copies from the production environment? (Should be NO.)</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Is the project maintenance window documented?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N/A</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Is the frequency of monitoring and measurements documented?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4"/>
              </w:rPr>
              <w:t xml:space="preserve">13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Does the project provide, for each release, a Test Plan, a Test Completion Report and a Test Summary Report?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Suvera maintains these artefacts for each release.</w:t>
            </w: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process of selecting the processor take UK GDPR requirements into account?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Is the list of systems and suppliers taking part in the Service Delivery phase documented?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16</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If processing is based on consent, does the system inform the user and capture and store the fact of consent?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N/A</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17</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If the system processes personal data of a child, does it require parental consent?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N/A</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18</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Does the system inform the user about their individual rights?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4"/>
              </w:rPr>
              <w:t xml:space="preserve">19</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Does the system implement functionalities allowing the execution of individual rights?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20</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Does the system protect personal data by design and by default?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21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Does the system offer the possibility of communicating a personal data breach to the data subject?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22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color w:val="000000"/>
                <w:sz w:val="24"/>
              </w:rPr>
              <w:t xml:space="preserve">Does the system allow the anonymisation of personal data after a defined period (e.g. after disabling a user account)?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N</w:t>
            </w: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32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If the project involves a clinical digital system, has a Clinical Safety Case and Hazard Log been initiated or updated? (DCB0129/0160)</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t xml:space="preserve">Suvera maintains DCB0129 clinical safety documentation for Recall as the manufacturer.</w:t>
            </w:r>
          </w:p>
        </w:tc>
      </w:tr>
    </w:tbl>
    <w:p>
      <w:pPr>
        <w:spacing w:lineRule="auto"/>
      </w:pPr>
      <w:r>
        <w:rPr/>
      </w:r>
    </w:p>
    <w:p>
      <w:pPr>
        <w:pStyle w:val="Heading2"/>
        <w:spacing w:lineRule="auto"/>
      </w:pPr>
      <w:hyperlink r:id="rId25"/>
      <w:r>
        <w:rPr>
          <w:b/>
          <w:sz w:val="36"/>
        </w:rPr>
        <w:t xml:space="preserve">Step 5 + 6 — Identify, assess and mitigate risks</w:t>
      </w:r>
    </w:p>
    <w:p>
      <w:pPr>
        <w:spacing w:lineRule="auto"/>
      </w:pPr>
      <w:r>
        <w:rPr/>
        <w:t xml:space="preserve">⚠️ </w:t>
      </w:r>
      <w:r>
        <w:rPr>
          <w:b/>
        </w:rPr>
        <w:t xml:space="preserve">Important:</w:t>
      </w:r>
      <w:r>
        <w:rPr/>
        <w:t xml:space="preserve"> The risk described must be the risk </w:t>
      </w:r>
      <w:r>
        <w:rPr>
          <w:i/>
        </w:rPr>
        <w:t xml:space="preserve">to the data subject</w:t>
      </w:r>
      <w:r>
        <w:rPr/>
        <w:t xml:space="preserve"> (e.g. patient health data seen by unauthorised third parties). The risk </w:t>
      </w:r>
      <w:r>
        <w:rPr>
          <w:i/>
        </w:rPr>
        <w:t xml:space="preserve">source</w:t>
      </w:r>
      <w:r>
        <w:rPr/>
        <w:t xml:space="preserve"> is what could cause it (e.g. unencrypted email). Controls must address both. Likelihood and Severity are each scored 1–5 (see matrix below).</w:t>
      </w:r>
    </w:p>
    <w:p>
      <w:pPr>
        <w:pStyle w:val="Heading3"/>
        <w:spacing w:lineRule="auto"/>
      </w:pPr>
      <w:hyperlink r:id="rId26"/>
      <w:r>
        <w:rPr>
          <w:b/>
          <w:sz w:val="28"/>
        </w:rPr>
        <w:t xml:space="preserve">Risk scoring matrix</w:t>
      </w:r>
    </w:p>
    <w:p>
      <w:pPr>
        <w:spacing w:lineRule="auto"/>
      </w:pPr>
      <w:r>
        <w:rPr>
          <w:b/>
          <w:color w:val="1f4e79"/>
          <w:sz w:val="21"/>
        </w:rPr>
        <w:t xml:space="preserve">Risk scoring matrix (Risk score = Likelihood × Severity)</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2326.3333333333335"/>
        <w:gridCol w:w="2326.3333333333335"/>
        <w:gridCol w:w="2326.3333333333335"/>
        <w:gridCol w:w="2326.3333333333335"/>
        <w:gridCol w:w="2326.3333333333335"/>
        <w:gridCol w:w="2326.3333333333335"/>
      </w:tblGrid>
      <w:tr>
        <w:trPr/>
        <w:tc>
          <w:tcPr>
            <w:tcBorders>
              <w:top w:val="single" w:sz="8" w:space="0" w:color="000000"/>
              <w:bottom w:val="single" w:sz="8" w:space="0" w:color="000000"/>
              <w:left w:val="single" w:sz="8" w:space="0" w:color="000000"/>
              <w:right w:val="single" w:sz="8" w:space="0" w:color="000000"/>
            </w:tcBorders>
            <w:vAlign w:val="top"/>
            <w:shd w:val="clear" w:fill="b4c7e7"/>
            <w:tcW w:w="1650" w:type="dxa"/>
          </w:tcPr>
          <w:p>
            <w:pPr>
              <w:jc w:val="center"/>
              <w:spacing w:lineRule="auto"/>
            </w:pPr>
            <w:r>
              <w:rPr>
                <w:b/>
                <w:color w:val="ffffff"/>
                <w:sz w:val="21"/>
              </w:rPr>
              <w:t xml:space="preserve">Likelihood ↓ / Severity →</w:t>
            </w:r>
          </w:p>
        </w:tc>
        <w:tc>
          <w:tcPr>
            <w:tcBorders>
              <w:top w:val="single" w:sz="8" w:space="0" w:color="000000"/>
              <w:bottom w:val="single" w:sz="8" w:space="0" w:color="000000"/>
              <w:left w:val="single" w:sz="8" w:space="0" w:color="000000"/>
              <w:right w:val="single" w:sz="8" w:space="0" w:color="000000"/>
            </w:tcBorders>
            <w:vAlign w:val="top"/>
            <w:shd w:val="clear" w:fill="b4c7e7"/>
            <w:tcW w:w="1530" w:type="dxa"/>
          </w:tcPr>
          <w:p>
            <w:pPr>
              <w:jc w:val="center"/>
              <w:spacing w:lineRule="auto"/>
            </w:pPr>
            <w:r>
              <w:rPr>
                <w:b/>
                <w:color w:val="ffffff"/>
                <w:sz w:val="21"/>
              </w:rPr>
              <w:t xml:space="preserve">1 Negligible</w:t>
            </w:r>
          </w:p>
        </w:tc>
        <w:tc>
          <w:tcPr>
            <w:tcBorders>
              <w:top w:val="single" w:sz="8" w:space="0" w:color="000000"/>
              <w:bottom w:val="single" w:sz="8" w:space="0" w:color="000000"/>
              <w:left w:val="single" w:sz="8" w:space="0" w:color="000000"/>
              <w:right w:val="single" w:sz="8" w:space="0" w:color="000000"/>
            </w:tcBorders>
            <w:vAlign w:val="top"/>
            <w:shd w:val="clear" w:fill="b4c7e7"/>
            <w:tcW w:w="1575" w:type="dxa"/>
          </w:tcPr>
          <w:p>
            <w:pPr>
              <w:jc w:val="center"/>
              <w:spacing w:lineRule="auto"/>
            </w:pPr>
            <w:r>
              <w:rPr>
                <w:b/>
                <w:color w:val="ffffff"/>
                <w:sz w:val="21"/>
              </w:rPr>
              <w:t xml:space="preserve">2 Minor</w:t>
            </w:r>
          </w:p>
        </w:tc>
        <w:tc>
          <w:tcPr>
            <w:tcBorders>
              <w:top w:val="single" w:sz="8" w:space="0" w:color="000000"/>
              <w:bottom w:val="single" w:sz="8" w:space="0" w:color="000000"/>
              <w:left w:val="single" w:sz="8" w:space="0" w:color="000000"/>
              <w:right w:val="single" w:sz="8" w:space="0" w:color="000000"/>
            </w:tcBorders>
            <w:vAlign w:val="top"/>
            <w:shd w:val="clear" w:fill="b4c7e7"/>
            <w:tcW w:w="1605" w:type="dxa"/>
          </w:tcPr>
          <w:p>
            <w:pPr>
              <w:jc w:val="center"/>
              <w:spacing w:lineRule="auto"/>
            </w:pPr>
            <w:r>
              <w:rPr>
                <w:b/>
                <w:color w:val="ffffff"/>
                <w:sz w:val="21"/>
              </w:rPr>
              <w:t xml:space="preserve">3 Moderate</w:t>
            </w:r>
          </w:p>
        </w:tc>
        <w:tc>
          <w:tcPr>
            <w:tcBorders>
              <w:top w:val="single" w:sz="8" w:space="0" w:color="000000"/>
              <w:bottom w:val="single" w:sz="8" w:space="0" w:color="000000"/>
              <w:left w:val="single" w:sz="8" w:space="0" w:color="000000"/>
              <w:right w:val="single" w:sz="8" w:space="0" w:color="000000"/>
            </w:tcBorders>
            <w:vAlign w:val="top"/>
            <w:shd w:val="clear" w:fill="b4c7e7"/>
          </w:tcPr>
          <w:p>
            <w:pPr>
              <w:jc w:val="center"/>
              <w:spacing w:lineRule="auto"/>
            </w:pPr>
            <w:r>
              <w:rPr>
                <w:b/>
                <w:color w:val="ffffff"/>
                <w:sz w:val="21"/>
              </w:rPr>
              <w:t xml:space="preserve">4 Major</w:t>
            </w:r>
          </w:p>
        </w:tc>
        <w:tc>
          <w:tcPr>
            <w:tcBorders>
              <w:top w:val="single" w:sz="8" w:space="0" w:color="000000"/>
              <w:bottom w:val="single" w:sz="8" w:space="0" w:color="000000"/>
              <w:left w:val="single" w:sz="8" w:space="0" w:color="000000"/>
              <w:right w:val="single" w:sz="8" w:space="0" w:color="000000"/>
            </w:tcBorders>
            <w:vAlign w:val="top"/>
            <w:shd w:val="clear" w:fill="b4c7e7"/>
          </w:tcPr>
          <w:p>
            <w:pPr>
              <w:jc w:val="center"/>
              <w:spacing w:lineRule="auto"/>
            </w:pPr>
            <w:r>
              <w:rPr>
                <w:b/>
                <w:color w:val="ffffff"/>
                <w:sz w:val="21"/>
              </w:rPr>
              <w:t xml:space="preserve">5 Catastrophic</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1650" w:type="dxa"/>
          </w:tcPr>
          <w:p>
            <w:pPr>
              <w:jc w:val="left"/>
              <w:spacing w:lineRule="auto"/>
            </w:pPr>
            <w:r>
              <w:rPr>
                <w:b/>
                <w:color w:val="000000"/>
                <w:sz w:val="21"/>
              </w:rPr>
              <w:t xml:space="preserve">5 Almost certain</w:t>
            </w:r>
          </w:p>
        </w:tc>
        <w:tc>
          <w:tcPr>
            <w:tcBorders>
              <w:top w:val="single" w:sz="8" w:space="0" w:color="000000"/>
              <w:bottom w:val="single" w:sz="8" w:space="0" w:color="000000"/>
              <w:left w:val="single" w:sz="8" w:space="0" w:color="000000"/>
              <w:right w:val="single" w:sz="8" w:space="0" w:color="000000"/>
            </w:tcBorders>
            <w:vAlign w:val="top"/>
            <w:shd w:val="clear" w:fill="c6efce"/>
            <w:tcW w:w="1530" w:type="dxa"/>
          </w:tcPr>
          <w:p>
            <w:pPr>
              <w:jc w:val="center"/>
              <w:spacing w:lineRule="auto"/>
            </w:pPr>
            <w:r>
              <w:rPr>
                <w:b/>
                <w:color w:val="000000"/>
                <w:sz w:val="21"/>
              </w:rPr>
              <w:t xml:space="preserve">5</w:t>
            </w:r>
          </w:p>
        </w:tc>
        <w:tc>
          <w:tcPr>
            <w:tcBorders>
              <w:top w:val="single" w:sz="8" w:space="0" w:color="000000"/>
              <w:bottom w:val="single" w:sz="8" w:space="0" w:color="000000"/>
              <w:left w:val="single" w:sz="8" w:space="0" w:color="000000"/>
              <w:right w:val="single" w:sz="8" w:space="0" w:color="000000"/>
            </w:tcBorders>
            <w:vAlign w:val="top"/>
            <w:shd w:val="clear" w:fill="ffeb9c"/>
            <w:tcW w:w="1575" w:type="dxa"/>
          </w:tcPr>
          <w:p>
            <w:pPr>
              <w:jc w:val="center"/>
              <w:spacing w:lineRule="auto"/>
            </w:pPr>
            <w:r>
              <w:rPr>
                <w:b/>
                <w:color w:val="000000"/>
                <w:sz w:val="21"/>
              </w:rPr>
              <w:t xml:space="preserve">10</w:t>
            </w:r>
          </w:p>
        </w:tc>
        <w:tc>
          <w:tcPr>
            <w:tcBorders>
              <w:top w:val="single" w:sz="8" w:space="0" w:color="000000"/>
              <w:bottom w:val="single" w:sz="8" w:space="0" w:color="000000"/>
              <w:left w:val="single" w:sz="8" w:space="0" w:color="000000"/>
              <w:right w:val="single" w:sz="8" w:space="0" w:color="000000"/>
            </w:tcBorders>
            <w:vAlign w:val="top"/>
            <w:shd w:val="clear" w:fill="f8cbad"/>
            <w:tcW w:w="1605" w:type="dxa"/>
          </w:tcPr>
          <w:p>
            <w:pPr>
              <w:jc w:val="center"/>
              <w:spacing w:lineRule="auto"/>
            </w:pPr>
            <w:r>
              <w:rPr>
                <w:b/>
                <w:color w:val="000000"/>
                <w:sz w:val="21"/>
              </w:rPr>
              <w:t xml:space="preserve">15</w:t>
            </w:r>
          </w:p>
        </w:tc>
        <w:tc>
          <w:tcPr>
            <w:tcBorders>
              <w:top w:val="single" w:sz="8" w:space="0" w:color="000000"/>
              <w:bottom w:val="single" w:sz="8" w:space="0" w:color="000000"/>
              <w:left w:val="single" w:sz="8" w:space="0" w:color="000000"/>
              <w:right w:val="single" w:sz="8" w:space="0" w:color="000000"/>
            </w:tcBorders>
            <w:vAlign w:val="top"/>
            <w:shd w:val="clear" w:fill="f4b084"/>
          </w:tcPr>
          <w:p>
            <w:pPr>
              <w:jc w:val="center"/>
              <w:spacing w:lineRule="auto"/>
            </w:pPr>
            <w:r>
              <w:rPr>
                <w:b/>
                <w:color w:val="000000"/>
                <w:sz w:val="21"/>
              </w:rPr>
              <w:t xml:space="preserve">20</w:t>
            </w:r>
          </w:p>
        </w:tc>
        <w:tc>
          <w:tcPr>
            <w:tcBorders>
              <w:top w:val="single" w:sz="8" w:space="0" w:color="000000"/>
              <w:bottom w:val="single" w:sz="8" w:space="0" w:color="000000"/>
              <w:left w:val="single" w:sz="8" w:space="0" w:color="000000"/>
              <w:right w:val="single" w:sz="8" w:space="0" w:color="000000"/>
            </w:tcBorders>
            <w:vAlign w:val="top"/>
            <w:shd w:val="clear" w:fill="f4b084"/>
          </w:tcPr>
          <w:p>
            <w:pPr>
              <w:jc w:val="center"/>
              <w:spacing w:lineRule="auto"/>
            </w:pPr>
            <w:r>
              <w:rPr>
                <w:b/>
                <w:color w:val="000000"/>
                <w:sz w:val="21"/>
              </w:rPr>
              <w:t xml:space="preserve">25</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1650" w:type="dxa"/>
          </w:tcPr>
          <w:p>
            <w:pPr>
              <w:jc w:val="left"/>
              <w:spacing w:lineRule="auto"/>
            </w:pPr>
            <w:r>
              <w:rPr>
                <w:b/>
                <w:color w:val="000000"/>
                <w:sz w:val="21"/>
              </w:rPr>
              <w:t xml:space="preserve">4 Likely</w:t>
            </w:r>
          </w:p>
        </w:tc>
        <w:tc>
          <w:tcPr>
            <w:tcBorders>
              <w:top w:val="single" w:sz="8" w:space="0" w:color="000000"/>
              <w:bottom w:val="single" w:sz="8" w:space="0" w:color="000000"/>
              <w:left w:val="single" w:sz="8" w:space="0" w:color="000000"/>
              <w:right w:val="single" w:sz="8" w:space="0" w:color="000000"/>
            </w:tcBorders>
            <w:vAlign w:val="top"/>
            <w:shd w:val="clear" w:fill="c6efce"/>
            <w:tcW w:w="1530" w:type="dxa"/>
          </w:tcPr>
          <w:p>
            <w:pPr>
              <w:jc w:val="center"/>
              <w:spacing w:lineRule="auto"/>
            </w:pPr>
            <w:r>
              <w:rPr>
                <w:b/>
                <w:color w:val="000000"/>
                <w:sz w:val="21"/>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ffeb9c"/>
            <w:tcW w:w="1575" w:type="dxa"/>
          </w:tcPr>
          <w:p>
            <w:pPr>
              <w:jc w:val="center"/>
              <w:spacing w:lineRule="auto"/>
            </w:pPr>
            <w:r>
              <w:rPr>
                <w:b/>
                <w:color w:val="000000"/>
                <w:sz w:val="21"/>
              </w:rPr>
              <w:t xml:space="preserve">8</w:t>
            </w:r>
          </w:p>
        </w:tc>
        <w:tc>
          <w:tcPr>
            <w:tcBorders>
              <w:top w:val="single" w:sz="8" w:space="0" w:color="000000"/>
              <w:bottom w:val="single" w:sz="8" w:space="0" w:color="000000"/>
              <w:left w:val="single" w:sz="8" w:space="0" w:color="000000"/>
              <w:right w:val="single" w:sz="8" w:space="0" w:color="000000"/>
            </w:tcBorders>
            <w:vAlign w:val="top"/>
            <w:shd w:val="clear" w:fill="f8cbad"/>
            <w:tcW w:w="1605" w:type="dxa"/>
          </w:tcPr>
          <w:p>
            <w:pPr>
              <w:jc w:val="center"/>
              <w:spacing w:lineRule="auto"/>
            </w:pPr>
            <w:r>
              <w:rPr>
                <w:b/>
                <w:color w:val="000000"/>
                <w:sz w:val="21"/>
              </w:rPr>
              <w:t xml:space="preserve">12</w:t>
            </w:r>
          </w:p>
        </w:tc>
        <w:tc>
          <w:tcPr>
            <w:tcBorders>
              <w:top w:val="single" w:sz="8" w:space="0" w:color="000000"/>
              <w:bottom w:val="single" w:sz="8" w:space="0" w:color="000000"/>
              <w:left w:val="single" w:sz="8" w:space="0" w:color="000000"/>
              <w:right w:val="single" w:sz="8" w:space="0" w:color="000000"/>
            </w:tcBorders>
            <w:vAlign w:val="top"/>
            <w:shd w:val="clear" w:fill="f4b084"/>
          </w:tcPr>
          <w:p>
            <w:pPr>
              <w:jc w:val="center"/>
              <w:spacing w:lineRule="auto"/>
            </w:pPr>
            <w:r>
              <w:rPr>
                <w:b/>
                <w:color w:val="000000"/>
                <w:sz w:val="21"/>
              </w:rPr>
              <w:t xml:space="preserve">16</w:t>
            </w:r>
          </w:p>
        </w:tc>
        <w:tc>
          <w:tcPr>
            <w:tcBorders>
              <w:top w:val="single" w:sz="8" w:space="0" w:color="000000"/>
              <w:bottom w:val="single" w:sz="8" w:space="0" w:color="000000"/>
              <w:left w:val="single" w:sz="8" w:space="0" w:color="000000"/>
              <w:right w:val="single" w:sz="8" w:space="0" w:color="000000"/>
            </w:tcBorders>
            <w:vAlign w:val="top"/>
            <w:shd w:val="clear" w:fill="f4b084"/>
          </w:tcPr>
          <w:p>
            <w:pPr>
              <w:jc w:val="center"/>
              <w:spacing w:lineRule="auto"/>
            </w:pPr>
            <w:r>
              <w:rPr>
                <w:b/>
                <w:color w:val="000000"/>
                <w:sz w:val="21"/>
              </w:rPr>
              <w:t xml:space="preserve">20</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1650" w:type="dxa"/>
          </w:tcPr>
          <w:p>
            <w:pPr>
              <w:jc w:val="left"/>
              <w:spacing w:lineRule="auto"/>
            </w:pPr>
            <w:r>
              <w:rPr>
                <w:b/>
                <w:color w:val="000000"/>
                <w:sz w:val="21"/>
              </w:rPr>
              <w:t xml:space="preserve">3 Possible</w:t>
            </w:r>
          </w:p>
        </w:tc>
        <w:tc>
          <w:tcPr>
            <w:tcBorders>
              <w:top w:val="single" w:sz="8" w:space="0" w:color="000000"/>
              <w:bottom w:val="single" w:sz="8" w:space="0" w:color="000000"/>
              <w:left w:val="single" w:sz="8" w:space="0" w:color="000000"/>
              <w:right w:val="single" w:sz="8" w:space="0" w:color="000000"/>
            </w:tcBorders>
            <w:vAlign w:val="top"/>
            <w:shd w:val="clear" w:fill="c6efce"/>
            <w:tcW w:w="1530" w:type="dxa"/>
          </w:tcPr>
          <w:p>
            <w:pPr>
              <w:jc w:val="center"/>
              <w:spacing w:lineRule="auto"/>
            </w:pPr>
            <w:r>
              <w:rPr>
                <w:b/>
                <w:color w:val="000000"/>
                <w:sz w:val="21"/>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ffeb9c"/>
            <w:tcW w:w="1575" w:type="dxa"/>
          </w:tcPr>
          <w:p>
            <w:pPr>
              <w:jc w:val="center"/>
              <w:spacing w:lineRule="auto"/>
            </w:pPr>
            <w:r>
              <w:rPr>
                <w:b/>
                <w:color w:val="000000"/>
                <w:sz w:val="21"/>
              </w:rPr>
              <w:t xml:space="preserve">6</w:t>
            </w:r>
          </w:p>
        </w:tc>
        <w:tc>
          <w:tcPr>
            <w:tcBorders>
              <w:top w:val="single" w:sz="8" w:space="0" w:color="000000"/>
              <w:bottom w:val="single" w:sz="8" w:space="0" w:color="000000"/>
              <w:left w:val="single" w:sz="8" w:space="0" w:color="000000"/>
              <w:right w:val="single" w:sz="8" w:space="0" w:color="000000"/>
            </w:tcBorders>
            <w:vAlign w:val="top"/>
            <w:shd w:val="clear" w:fill="ffeb9c"/>
            <w:tcW w:w="1605" w:type="dxa"/>
          </w:tcPr>
          <w:p>
            <w:pPr>
              <w:jc w:val="center"/>
              <w:spacing w:lineRule="auto"/>
            </w:pPr>
            <w:r>
              <w:rPr>
                <w:b/>
                <w:color w:val="000000"/>
                <w:sz w:val="21"/>
              </w:rPr>
              <w:t xml:space="preserve">9</w:t>
            </w:r>
          </w:p>
        </w:tc>
        <w:tc>
          <w:tcPr>
            <w:tcBorders>
              <w:top w:val="single" w:sz="8" w:space="0" w:color="000000"/>
              <w:bottom w:val="single" w:sz="8" w:space="0" w:color="000000"/>
              <w:left w:val="single" w:sz="8" w:space="0" w:color="000000"/>
              <w:right w:val="single" w:sz="8" w:space="0" w:color="000000"/>
            </w:tcBorders>
            <w:vAlign w:val="top"/>
            <w:shd w:val="clear" w:fill="f8cbad"/>
          </w:tcPr>
          <w:p>
            <w:pPr>
              <w:jc w:val="center"/>
              <w:spacing w:lineRule="auto"/>
            </w:pPr>
            <w:r>
              <w:rPr>
                <w:b/>
                <w:color w:val="000000"/>
                <w:sz w:val="21"/>
              </w:rPr>
              <w:t xml:space="preserve">12</w:t>
            </w:r>
          </w:p>
        </w:tc>
        <w:tc>
          <w:tcPr>
            <w:tcBorders>
              <w:top w:val="single" w:sz="8" w:space="0" w:color="000000"/>
              <w:bottom w:val="single" w:sz="8" w:space="0" w:color="000000"/>
              <w:left w:val="single" w:sz="8" w:space="0" w:color="000000"/>
              <w:right w:val="single" w:sz="8" w:space="0" w:color="000000"/>
            </w:tcBorders>
            <w:vAlign w:val="top"/>
            <w:shd w:val="clear" w:fill="f8cbad"/>
          </w:tcPr>
          <w:p>
            <w:pPr>
              <w:jc w:val="center"/>
              <w:spacing w:lineRule="auto"/>
            </w:pPr>
            <w:r>
              <w:rPr>
                <w:b/>
                <w:color w:val="000000"/>
                <w:sz w:val="21"/>
              </w:rPr>
              <w:t xml:space="preserve">15</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1650" w:type="dxa"/>
          </w:tcPr>
          <w:p>
            <w:pPr>
              <w:jc w:val="left"/>
              <w:spacing w:lineRule="auto"/>
            </w:pPr>
            <w:r>
              <w:rPr>
                <w:b/>
                <w:color w:val="000000"/>
                <w:sz w:val="21"/>
              </w:rPr>
              <w:t xml:space="preserve">2 Unlikely</w:t>
            </w:r>
          </w:p>
        </w:tc>
        <w:tc>
          <w:tcPr>
            <w:tcBorders>
              <w:top w:val="single" w:sz="8" w:space="0" w:color="000000"/>
              <w:bottom w:val="single" w:sz="8" w:space="0" w:color="000000"/>
              <w:left w:val="single" w:sz="8" w:space="0" w:color="000000"/>
              <w:right w:val="single" w:sz="8" w:space="0" w:color="000000"/>
            </w:tcBorders>
            <w:vAlign w:val="top"/>
            <w:shd w:val="clear" w:fill="c6efce"/>
            <w:tcW w:w="1530" w:type="dxa"/>
          </w:tcPr>
          <w:p>
            <w:pPr>
              <w:jc w:val="center"/>
              <w:spacing w:lineRule="auto"/>
            </w:pPr>
            <w:r>
              <w:rPr>
                <w:b/>
                <w:color w:val="000000"/>
                <w:sz w:val="21"/>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c6efce"/>
            <w:tcW w:w="1575" w:type="dxa"/>
          </w:tcPr>
          <w:p>
            <w:pPr>
              <w:jc w:val="center"/>
              <w:spacing w:lineRule="auto"/>
            </w:pPr>
            <w:r>
              <w:rPr>
                <w:b/>
                <w:color w:val="000000"/>
                <w:sz w:val="21"/>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ffeb9c"/>
            <w:tcW w:w="1605" w:type="dxa"/>
          </w:tcPr>
          <w:p>
            <w:pPr>
              <w:jc w:val="center"/>
              <w:spacing w:lineRule="auto"/>
            </w:pPr>
            <w:r>
              <w:rPr>
                <w:b/>
                <w:color w:val="000000"/>
                <w:sz w:val="21"/>
              </w:rPr>
              <w:t xml:space="preserve">6</w:t>
            </w:r>
          </w:p>
        </w:tc>
        <w:tc>
          <w:tcPr>
            <w:tcBorders>
              <w:top w:val="single" w:sz="8" w:space="0" w:color="000000"/>
              <w:bottom w:val="single" w:sz="8" w:space="0" w:color="000000"/>
              <w:left w:val="single" w:sz="8" w:space="0" w:color="000000"/>
              <w:right w:val="single" w:sz="8" w:space="0" w:color="000000"/>
            </w:tcBorders>
            <w:vAlign w:val="top"/>
            <w:shd w:val="clear" w:fill="ffeb9c"/>
          </w:tcPr>
          <w:p>
            <w:pPr>
              <w:jc w:val="center"/>
              <w:spacing w:lineRule="auto"/>
            </w:pPr>
            <w:r>
              <w:rPr>
                <w:b/>
                <w:color w:val="000000"/>
                <w:sz w:val="21"/>
              </w:rPr>
              <w:t xml:space="preserve">8</w:t>
            </w:r>
          </w:p>
        </w:tc>
        <w:tc>
          <w:tcPr>
            <w:tcBorders>
              <w:top w:val="single" w:sz="8" w:space="0" w:color="000000"/>
              <w:bottom w:val="single" w:sz="8" w:space="0" w:color="000000"/>
              <w:left w:val="single" w:sz="8" w:space="0" w:color="000000"/>
              <w:right w:val="single" w:sz="8" w:space="0" w:color="000000"/>
            </w:tcBorders>
            <w:vAlign w:val="top"/>
            <w:shd w:val="clear" w:fill="ffeb9c"/>
          </w:tcPr>
          <w:p>
            <w:pPr>
              <w:jc w:val="center"/>
              <w:spacing w:lineRule="auto"/>
            </w:pPr>
            <w:r>
              <w:rPr>
                <w:b/>
                <w:color w:val="000000"/>
                <w:sz w:val="21"/>
              </w:rPr>
              <w:t xml:space="preserve">10</w:t>
            </w:r>
          </w:p>
        </w:tc>
      </w:tr>
      <w:tr>
        <w:trPr/>
        <w:tc>
          <w:tcPr>
            <w:tcBorders>
              <w:top w:val="single" w:sz="8" w:space="0" w:color="000000"/>
              <w:bottom w:val="single" w:sz="8" w:space="0" w:color="000000"/>
              <w:left w:val="single" w:sz="8" w:space="0" w:color="000000"/>
              <w:right w:val="single" w:sz="8" w:space="0" w:color="000000"/>
            </w:tcBorders>
            <w:vAlign w:val="top"/>
            <w:shd w:val="clear" w:fill="d9e2f3"/>
            <w:tcW w:w="1650" w:type="dxa"/>
          </w:tcPr>
          <w:p>
            <w:pPr>
              <w:jc w:val="left"/>
              <w:spacing w:lineRule="auto"/>
            </w:pPr>
            <w:r>
              <w:rPr>
                <w:b/>
                <w:color w:val="000000"/>
                <w:sz w:val="21"/>
              </w:rPr>
              <w:t xml:space="preserve">1 Rare</w:t>
            </w:r>
          </w:p>
        </w:tc>
        <w:tc>
          <w:tcPr>
            <w:tcBorders>
              <w:top w:val="single" w:sz="8" w:space="0" w:color="000000"/>
              <w:bottom w:val="single" w:sz="8" w:space="0" w:color="000000"/>
              <w:left w:val="single" w:sz="8" w:space="0" w:color="000000"/>
              <w:right w:val="single" w:sz="8" w:space="0" w:color="000000"/>
            </w:tcBorders>
            <w:vAlign w:val="top"/>
            <w:shd w:val="clear" w:fill="c6efce"/>
            <w:tcW w:w="1530" w:type="dxa"/>
          </w:tcPr>
          <w:p>
            <w:pPr>
              <w:jc w:val="center"/>
              <w:spacing w:lineRule="auto"/>
            </w:pPr>
            <w:r>
              <w:rPr>
                <w:b/>
                <w:color w:val="000000"/>
                <w:sz w:val="21"/>
              </w:rPr>
              <w:t xml:space="preserve">1</w:t>
            </w:r>
          </w:p>
        </w:tc>
        <w:tc>
          <w:tcPr>
            <w:tcBorders>
              <w:top w:val="single" w:sz="8" w:space="0" w:color="000000"/>
              <w:bottom w:val="single" w:sz="8" w:space="0" w:color="000000"/>
              <w:left w:val="single" w:sz="8" w:space="0" w:color="000000"/>
              <w:right w:val="single" w:sz="8" w:space="0" w:color="000000"/>
            </w:tcBorders>
            <w:vAlign w:val="top"/>
            <w:shd w:val="clear" w:fill="c6efce"/>
            <w:tcW w:w="1575" w:type="dxa"/>
          </w:tcPr>
          <w:p>
            <w:pPr>
              <w:jc w:val="center"/>
              <w:spacing w:lineRule="auto"/>
            </w:pPr>
            <w:r>
              <w:rPr>
                <w:b/>
                <w:color w:val="000000"/>
                <w:sz w:val="21"/>
              </w:rPr>
              <w:t xml:space="preserve">2</w:t>
            </w:r>
          </w:p>
        </w:tc>
        <w:tc>
          <w:tcPr>
            <w:tcBorders>
              <w:top w:val="single" w:sz="8" w:space="0" w:color="000000"/>
              <w:bottom w:val="single" w:sz="8" w:space="0" w:color="000000"/>
              <w:left w:val="single" w:sz="8" w:space="0" w:color="000000"/>
              <w:right w:val="single" w:sz="8" w:space="0" w:color="000000"/>
            </w:tcBorders>
            <w:vAlign w:val="top"/>
            <w:shd w:val="clear" w:fill="c6efce"/>
            <w:tcW w:w="1605" w:type="dxa"/>
          </w:tcPr>
          <w:p>
            <w:pPr>
              <w:jc w:val="center"/>
              <w:spacing w:lineRule="auto"/>
            </w:pPr>
            <w:r>
              <w:rPr>
                <w:b/>
                <w:color w:val="000000"/>
                <w:sz w:val="21"/>
              </w:rPr>
              <w:t xml:space="preserve">3</w:t>
            </w:r>
          </w:p>
        </w:tc>
        <w:tc>
          <w:tcPr>
            <w:tcBorders>
              <w:top w:val="single" w:sz="8" w:space="0" w:color="000000"/>
              <w:bottom w:val="single" w:sz="8" w:space="0" w:color="000000"/>
              <w:left w:val="single" w:sz="8" w:space="0" w:color="000000"/>
              <w:right w:val="single" w:sz="8" w:space="0" w:color="000000"/>
            </w:tcBorders>
            <w:vAlign w:val="top"/>
            <w:shd w:val="clear" w:fill="c6efce"/>
          </w:tcPr>
          <w:p>
            <w:pPr>
              <w:jc w:val="center"/>
              <w:spacing w:lineRule="auto"/>
            </w:pPr>
            <w:r>
              <w:rPr>
                <w:b/>
                <w:color w:val="000000"/>
                <w:sz w:val="21"/>
              </w:rPr>
              <w:t xml:space="preserve">4</w:t>
            </w:r>
          </w:p>
        </w:tc>
        <w:tc>
          <w:tcPr>
            <w:tcBorders>
              <w:top w:val="single" w:sz="8" w:space="0" w:color="000000"/>
              <w:bottom w:val="single" w:sz="8" w:space="0" w:color="000000"/>
              <w:left w:val="single" w:sz="8" w:space="0" w:color="000000"/>
              <w:right w:val="single" w:sz="8" w:space="0" w:color="000000"/>
            </w:tcBorders>
            <w:vAlign w:val="top"/>
            <w:shd w:val="clear" w:fill="c6efce"/>
          </w:tcPr>
          <w:p>
            <w:pPr>
              <w:jc w:val="center"/>
              <w:spacing w:lineRule="auto"/>
            </w:pPr>
            <w:r>
              <w:rPr>
                <w:b/>
                <w:color w:val="000000"/>
                <w:sz w:val="21"/>
              </w:rPr>
              <w:t xml:space="preserve">5</w:t>
            </w:r>
          </w:p>
        </w:tc>
      </w:tr>
    </w:tbl>
    <w:p>
      <w:pPr>
        <w:spacing w:lineRule="auto"/>
      </w:pPr>
      <w:r>
        <w:rPr/>
      </w:r>
    </w:p>
    <w:p>
      <w:pPr>
        <w:spacing w:lineRule="auto"/>
      </w:pPr>
      <w:r>
        <w:rPr/>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4652.666666666667"/>
        <w:gridCol w:w="4652.666666666667"/>
        <w:gridCol w:w="4652.666666666667"/>
      </w:tblGrid>
      <w:tr>
        <w:trPr/>
        <w:tc>
          <w:tcPr>
            <w:tcBorders>
              <w:top w:val="single" w:sz="8" w:space="0" w:color="000000"/>
              <w:bottom w:val="single" w:sz="8" w:space="0" w:color="000000"/>
              <w:left w:val="single" w:sz="8" w:space="0" w:color="000000"/>
              <w:right w:val="single" w:sz="8" w:space="0" w:color="000000"/>
            </w:tcBorders>
            <w:vAlign w:val="top"/>
            <w:shd w:val="clear" w:fill="b4c7e7"/>
          </w:tcPr>
          <w:p>
            <w:pPr>
              <w:jc w:val="left"/>
              <w:spacing w:lineRule="auto"/>
            </w:pPr>
            <w:r>
              <w:rPr>
                <w:b/>
                <w:color w:val="ffffff"/>
                <w:sz w:val="23"/>
              </w:rPr>
              <w:t xml:space="preserve">Band</w:t>
            </w:r>
          </w:p>
        </w:tc>
        <w:tc>
          <w:tcPr>
            <w:tcBorders>
              <w:top w:val="single" w:sz="8" w:space="0" w:color="000000"/>
              <w:bottom w:val="single" w:sz="8" w:space="0" w:color="000000"/>
              <w:left w:val="single" w:sz="8" w:space="0" w:color="000000"/>
              <w:right w:val="single" w:sz="8" w:space="0" w:color="000000"/>
            </w:tcBorders>
            <w:vAlign w:val="top"/>
            <w:shd w:val="clear" w:fill="b4c7e7"/>
          </w:tcPr>
          <w:p>
            <w:pPr>
              <w:jc w:val="left"/>
              <w:spacing w:lineRule="auto"/>
            </w:pPr>
            <w:r>
              <w:rPr>
                <w:b/>
                <w:color w:val="ffffff"/>
                <w:sz w:val="23"/>
              </w:rPr>
              <w:t xml:space="preserve">Score</w:t>
            </w:r>
          </w:p>
        </w:tc>
        <w:tc>
          <w:tcPr>
            <w:tcBorders>
              <w:top w:val="single" w:sz="8" w:space="0" w:color="000000"/>
              <w:bottom w:val="single" w:sz="8" w:space="0" w:color="000000"/>
              <w:left w:val="single" w:sz="8" w:space="0" w:color="000000"/>
              <w:right w:val="single" w:sz="8" w:space="0" w:color="000000"/>
            </w:tcBorders>
            <w:vAlign w:val="top"/>
            <w:shd w:val="clear" w:fill="b4c7e7"/>
            <w:tcW w:w="6360" w:type="dxa"/>
          </w:tcPr>
          <w:p>
            <w:pPr>
              <w:jc w:val="left"/>
              <w:spacing w:lineRule="auto"/>
            </w:pPr>
            <w:r>
              <w:rPr>
                <w:b/>
                <w:color w:val="ffffff"/>
                <w:sz w:val="23"/>
              </w:rPr>
              <w:t xml:space="preserve">Decision</w:t>
            </w:r>
          </w:p>
        </w:tc>
      </w:tr>
      <w:tr>
        <w:trPr/>
        <w:tc>
          <w:tcPr>
            <w:tcBorders>
              <w:top w:val="single" w:sz="8" w:space="0" w:color="000000"/>
              <w:bottom w:val="single" w:sz="8" w:space="0" w:color="000000"/>
              <w:left w:val="single" w:sz="8" w:space="0" w:color="000000"/>
              <w:right w:val="single" w:sz="8" w:space="0" w:color="000000"/>
            </w:tcBorders>
            <w:vAlign w:val="top"/>
            <w:shd w:val="clear" w:fill="c6efce"/>
          </w:tcPr>
          <w:p>
            <w:pPr>
              <w:jc w:val="center"/>
              <w:spacing w:lineRule="auto"/>
            </w:pPr>
            <w:r>
              <w:rPr>
                <w:b/>
                <w:color w:val="000000"/>
                <w:sz w:val="23"/>
              </w:rPr>
              <w:t xml:space="preserve">Low</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3"/>
              </w:rPr>
              <w:t xml:space="preserve">1–5</w:t>
            </w:r>
          </w:p>
        </w:tc>
        <w:tc>
          <w:tcPr>
            <w:tcBorders>
              <w:top w:val="single" w:sz="8" w:space="0" w:color="000000"/>
              <w:bottom w:val="single" w:sz="8" w:space="0" w:color="000000"/>
              <w:left w:val="single" w:sz="8" w:space="0" w:color="000000"/>
              <w:right w:val="single" w:sz="8" w:space="0" w:color="000000"/>
            </w:tcBorders>
            <w:vAlign w:val="top"/>
            <w:tcW w:w="6360" w:type="dxa"/>
          </w:tcPr>
          <w:p>
            <w:pPr>
              <w:jc w:val="left"/>
              <w:spacing w:lineRule="auto"/>
            </w:pPr>
            <w:r>
              <w:rPr>
                <w:color w:val="000000"/>
                <w:sz w:val="23"/>
              </w:rPr>
              <w:t xml:space="preserve">Acceptable. Consider mitigation.</w:t>
            </w:r>
          </w:p>
        </w:tc>
      </w:tr>
      <w:tr>
        <w:trPr/>
        <w:tc>
          <w:tcPr>
            <w:tcBorders>
              <w:top w:val="single" w:sz="8" w:space="0" w:color="000000"/>
              <w:bottom w:val="single" w:sz="8" w:space="0" w:color="000000"/>
              <w:left w:val="single" w:sz="8" w:space="0" w:color="000000"/>
              <w:right w:val="single" w:sz="8" w:space="0" w:color="000000"/>
            </w:tcBorders>
            <w:vAlign w:val="top"/>
            <w:shd w:val="clear" w:fill="ffeb9c"/>
          </w:tcPr>
          <w:p>
            <w:pPr>
              <w:jc w:val="center"/>
              <w:spacing w:lineRule="auto"/>
            </w:pPr>
            <w:r>
              <w:rPr>
                <w:b/>
                <w:color w:val="000000"/>
                <w:sz w:val="23"/>
              </w:rPr>
              <w:t xml:space="preserve">Medium</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3"/>
              </w:rPr>
              <w:t xml:space="preserve">6–12</w:t>
            </w:r>
          </w:p>
        </w:tc>
        <w:tc>
          <w:tcPr>
            <w:tcBorders>
              <w:top w:val="single" w:sz="8" w:space="0" w:color="000000"/>
              <w:bottom w:val="single" w:sz="8" w:space="0" w:color="000000"/>
              <w:left w:val="single" w:sz="8" w:space="0" w:color="000000"/>
              <w:right w:val="single" w:sz="8" w:space="0" w:color="000000"/>
            </w:tcBorders>
            <w:vAlign w:val="top"/>
            <w:tcW w:w="6360" w:type="dxa"/>
          </w:tcPr>
          <w:p>
            <w:pPr>
              <w:jc w:val="left"/>
              <w:spacing w:lineRule="auto"/>
            </w:pPr>
            <w:r>
              <w:rPr>
                <w:color w:val="000000"/>
                <w:sz w:val="23"/>
              </w:rPr>
              <w:t xml:space="preserve">Unacceptable. Requires mitigation where reasonable. Any residual score above 6 </w:t>
            </w:r>
            <w:r>
              <w:rPr>
                <w:b/>
                <w:color w:val="000000"/>
                <w:sz w:val="23"/>
              </w:rPr>
              <w:t xml:space="preserve">must</w:t>
            </w:r>
            <w:r>
              <w:rPr>
                <w:color w:val="000000"/>
                <w:sz w:val="23"/>
              </w:rPr>
              <w:t xml:space="preserve"> be reviewed to identify further mitigations.</w:t>
            </w:r>
          </w:p>
        </w:tc>
      </w:tr>
      <w:tr>
        <w:trPr/>
        <w:tc>
          <w:tcPr>
            <w:tcBorders>
              <w:top w:val="single" w:sz="8" w:space="0" w:color="000000"/>
              <w:bottom w:val="single" w:sz="8" w:space="0" w:color="000000"/>
              <w:left w:val="single" w:sz="8" w:space="0" w:color="000000"/>
              <w:right w:val="single" w:sz="8" w:space="0" w:color="000000"/>
            </w:tcBorders>
            <w:vAlign w:val="top"/>
            <w:shd w:val="clear" w:fill="f8cbad"/>
          </w:tcPr>
          <w:p>
            <w:pPr>
              <w:jc w:val="center"/>
              <w:spacing w:lineRule="auto"/>
            </w:pPr>
            <w:r>
              <w:rPr>
                <w:b/>
                <w:color w:val="000000"/>
                <w:sz w:val="23"/>
              </w:rPr>
              <w:t xml:space="preserve">High</w:t>
            </w:r>
          </w:p>
        </w:tc>
        <w:tc>
          <w:tcPr>
            <w:tcBorders>
              <w:top w:val="single" w:sz="8" w:space="0" w:color="000000"/>
              <w:bottom w:val="single" w:sz="8" w:space="0" w:color="000000"/>
              <w:left w:val="single" w:sz="8" w:space="0" w:color="000000"/>
              <w:right w:val="single" w:sz="8" w:space="0" w:color="000000"/>
            </w:tcBorders>
            <w:vAlign w:val="top"/>
          </w:tcPr>
          <w:p>
            <w:pPr>
              <w:jc w:val="center"/>
              <w:spacing w:lineRule="auto"/>
            </w:pPr>
            <w:r>
              <w:rPr>
                <w:b/>
                <w:color w:val="000000"/>
                <w:sz w:val="23"/>
              </w:rPr>
              <w:t xml:space="preserve">15–25</w:t>
            </w:r>
          </w:p>
        </w:tc>
        <w:tc>
          <w:tcPr>
            <w:tcBorders>
              <w:top w:val="single" w:sz="8" w:space="0" w:color="000000"/>
              <w:bottom w:val="single" w:sz="8" w:space="0" w:color="000000"/>
              <w:left w:val="single" w:sz="8" w:space="0" w:color="000000"/>
              <w:right w:val="single" w:sz="8" w:space="0" w:color="000000"/>
            </w:tcBorders>
            <w:vAlign w:val="top"/>
            <w:tcW w:w="6360" w:type="dxa"/>
          </w:tcPr>
          <w:p>
            <w:pPr>
              <w:jc w:val="left"/>
              <w:spacing w:lineRule="auto"/>
            </w:pPr>
            <w:r>
              <w:rPr>
                <w:color w:val="000000"/>
                <w:sz w:val="23"/>
              </w:rPr>
              <w:t xml:space="preserve">Unacceptable. Requires mitigation. If high residual risk cannot be adequately mitigated, the DPO must consult the ICO before processing begins (UK GDPR Art. 36).</w:t>
            </w:r>
          </w:p>
        </w:tc>
      </w:tr>
    </w:tbl>
    <w:p>
      <w:pPr>
        <w:spacing w:lineRule="auto"/>
      </w:pPr>
      <w:r>
        <w:rPr/>
      </w:r>
    </w:p>
    <w:p>
      <w:pPr>
        <w:spacing w:lineRule="auto"/>
      </w:pPr>
      <w:r>
        <w:rPr/>
      </w:r>
    </w:p>
    <w:p>
      <w:pPr>
        <w:spacing w:lineRule="auto"/>
      </w:pPr>
      <w:r>
        <w:rPr>
          <w:b/>
          <w:color w:val="1f4e79"/>
          <w:sz w:val="24"/>
        </w:rPr>
        <w:t xml:space="preserve">Step 5 — Sources of potential harm and initial risk (pre-mitigation)</w:t>
      </w:r>
    </w:p>
    <w:p>
      <w:pPr>
        <w:spacing w:lineRule="auto"/>
      </w:pPr>
      <w:r>
        <w:rPr>
          <w:color w:val="000000"/>
          <w:sz w:val="24"/>
        </w:rPr>
        <w:t xml:space="preserve">Detail sources of potential harm to data subjects, the nature of the potential impact, and estimate risk with existing controls.</w:t>
      </w:r>
    </w:p>
    <w:p>
      <w:pPr>
        <w:spacing w:lineRule="auto"/>
      </w:pPr>
      <w:r>
        <w:rPr>
          <w:color w:val="000000"/>
          <w:sz w:val="24"/>
        </w:rPr>
        <w:t xml:space="preserve">Enter these details into the relevant columns of the table below.</w:t>
      </w:r>
    </w:p>
    <w:p>
      <w:pPr>
        <w:spacing w:lineRule="auto"/>
      </w:pPr>
      <w:r>
        <w:rPr/>
      </w:r>
    </w:p>
    <w:p>
      <w:pPr>
        <w:spacing w:lineRule="auto"/>
      </w:pPr>
      <w:r>
        <w:rPr>
          <w:b/>
          <w:color w:val="1f4e79"/>
          <w:sz w:val="24"/>
        </w:rPr>
        <w:t xml:space="preserve">Step 6 — Document actions to mitigate risk, and recalculate residual risk (mitigation)</w:t>
      </w:r>
    </w:p>
    <w:p>
      <w:pPr>
        <w:spacing w:lineRule="auto"/>
      </w:pPr>
      <w:r>
        <w:rPr>
          <w:color w:val="000000"/>
          <w:sz w:val="24"/>
        </w:rPr>
        <w:t xml:space="preserve">For each risk identified in Step 5, document the further actions required before processing can proceed.</w:t>
      </w:r>
    </w:p>
    <w:p>
      <w:pPr>
        <w:spacing w:lineRule="auto"/>
      </w:pPr>
      <w:r>
        <w:rPr/>
        <w:t xml:space="preserve">Recalculate risk scores taking into account </w:t>
      </w:r>
      <w:r>
        <w:rPr>
          <w:b/>
        </w:rPr>
        <w:t xml:space="preserve">completed</w:t>
      </w:r>
      <w:r>
        <w:rPr/>
        <w:t xml:space="preserve"> actions. Likelihood should always reduce. Severity may be reduced in limited cases where, for example, pseudonymisation, encryption or access restrictions have been applied.</w:t>
      </w:r>
    </w:p>
    <w:p>
      <w:pPr>
        <w:pStyle w:val="Heading3"/>
        <w:spacing w:lineRule="auto"/>
      </w:pPr>
      <w:hyperlink r:id="rId27"/>
      <w:r>
        <w:rPr>
          <w:b/>
          <w:sz w:val="28"/>
        </w:rPr>
        <w:t xml:space="preserve">Risk assessment table</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1395.8"/>
        <w:gridCol w:w="1395.8"/>
        <w:gridCol w:w="1395.8"/>
        <w:gridCol w:w="1395.8"/>
        <w:gridCol w:w="1395.8"/>
        <w:gridCol w:w="1395.8"/>
        <w:gridCol w:w="1395.8"/>
        <w:gridCol w:w="1395.8"/>
        <w:gridCol w:w="1395.8"/>
        <w:gridCol w:w="1395.8"/>
      </w:tblGrid>
      <w:tr>
        <w:trPr/>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gridSpan w:val="2"/>
            <w:vAlign w:val="top"/>
            <w:shd w:val="clear" w:fill="0c5395"/>
            <w:tcW w:w="0" w:type="dxa"/>
          </w:tcPr>
          <w:p>
            <w:pPr>
              <w:jc w:val="left"/>
              <w:spacing w:lineRule="auto"/>
            </w:pPr>
            <w:r>
              <w:rPr>
                <w:color w:val="FFFFFF"/>
                <w:sz w:val="21"/>
              </w:rPr>
              <w:t xml:space="preserve">Step 5: Pre-mitigation</w:t>
            </w:r>
          </w:p>
        </w:tc>
        <w:tc>
          <w:tcPr>
            <w:tcBorders>
              <w:top w:val="single" w:sz="8" w:space="0" w:color="000000"/>
              <w:bottom w:val="single" w:sz="8" w:space="0" w:color="000000"/>
              <w:left w:val="single" w:sz="8" w:space="0" w:color="000000"/>
              <w:right w:val="single" w:sz="8" w:space="0" w:color="000000"/>
            </w:tcBorders>
            <w:gridSpan w:val="3"/>
            <w:vAlign w:val="top"/>
            <w:shd w:val="clear" w:fill="0c5395"/>
            <w:tcW w:w="0" w:type="dxa"/>
          </w:tcPr>
          <w:p>
            <w:pPr>
              <w:jc w:val="left"/>
              <w:spacing w:lineRule="auto"/>
            </w:pPr>
            <w:r>
              <w:rPr>
                <w:color w:val="FFFFFF"/>
                <w:sz w:val="21"/>
              </w:rPr>
              <w:t xml:space="preserve">Initial Risk</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color w:val="FFFFFF"/>
                <w:sz w:val="21"/>
              </w:rPr>
              <w:t xml:space="preserve">Step 6: Mitigation</w:t>
            </w:r>
          </w:p>
        </w:tc>
        <w:tc>
          <w:tcPr>
            <w:tcBorders>
              <w:top w:val="single" w:sz="8" w:space="0" w:color="000000"/>
              <w:bottom w:val="single" w:sz="8" w:space="0" w:color="000000"/>
              <w:left w:val="single" w:sz="8" w:space="0" w:color="000000"/>
              <w:right w:val="single" w:sz="8" w:space="0" w:color="000000"/>
            </w:tcBorders>
            <w:gridSpan w:val="3"/>
            <w:vAlign w:val="top"/>
            <w:shd w:val="clear" w:fill="0c5395"/>
            <w:tcW w:w="0" w:type="dxa"/>
          </w:tcPr>
          <w:p>
            <w:pPr>
              <w:jc w:val="left"/>
              <w:spacing w:lineRule="auto"/>
            </w:pPr>
            <w:r>
              <w:rPr>
                <w:color w:val="FFFFFF"/>
                <w:sz w:val="21"/>
              </w:rPr>
              <w:t xml:space="preserve">Residual Risk</w:t>
            </w:r>
          </w:p>
        </w:tc>
      </w:tr>
      <w:tr>
        <w:trPr/>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b/>
                <w:color w:val="ffffff"/>
                <w:sz w:val="21"/>
              </w:rPr>
              <w:t xml:space="preserve">Risk category </w:t>
            </w:r>
            <w:r>
              <w:rPr>
                <w:i/>
                <w:color w:val="ffffff"/>
                <w:sz w:val="21"/>
              </w:rPr>
              <w:t xml:space="preserve">- </w:t>
            </w:r>
            <w:r>
              <w:rPr>
                <w:i/>
                <w:color w:val="FFFFFF"/>
                <w:sz w:val="21"/>
              </w:rPr>
              <w:t xml:space="preserve">a</w:t>
            </w:r>
            <w:r>
              <w:rPr>
                <w:i/>
                <w:color w:val="FFFFFF"/>
                <w:sz w:val="18"/>
              </w:rPr>
              <w:t xml:space="preserve">dd additional rows per section as needed</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b/>
                <w:color w:val="ffffff"/>
                <w:sz w:val="21"/>
              </w:rPr>
              <w:t xml:space="preserve">Source of risk and risk to the data subject</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b/>
                <w:color w:val="ffffff"/>
                <w:sz w:val="21"/>
              </w:rPr>
              <w:t xml:space="preserve">Existing controls / built-in mitigations</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b/>
                <w:color w:val="ffffff"/>
                <w:sz w:val="21"/>
              </w:rPr>
              <w:t xml:space="preserve">L</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b/>
                <w:color w:val="ffffff"/>
                <w:sz w:val="21"/>
              </w:rPr>
              <w:t xml:space="preserve">S</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b/>
                <w:color w:val="ffffff"/>
                <w:sz w:val="21"/>
              </w:rPr>
              <w:t xml:space="preserve">R</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center"/>
              <w:spacing w:lineRule="auto"/>
            </w:pPr>
            <w:r>
              <w:rPr>
                <w:b/>
                <w:color w:val="FFFFFF"/>
                <w:sz w:val="21"/>
              </w:rPr>
              <w:t xml:space="preserve">Actions (Including Owner and Status)</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color w:val="FFFFFF"/>
                <w:sz w:val="21"/>
              </w:rPr>
              <w:t xml:space="preserve">L</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color w:val="FFFFFF"/>
                <w:sz w:val="21"/>
              </w:rPr>
              <w:t xml:space="preserve">S</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color w:val="FFFFFF"/>
                <w:sz w:val="21"/>
              </w:rPr>
              <w:t xml:space="preserve">R</w:t>
            </w:r>
          </w:p>
        </w:tc>
      </w:tr>
      <w:tr>
        <w:trPr/>
        <w:tc>
          <w:tcPr>
            <w:tcBorders>
              <w:top w:val="single" w:sz="8" w:space="0" w:color="000000"/>
              <w:bottom w:val="single" w:sz="8" w:space="0" w:color="000000"/>
              <w:left w:val="single" w:sz="8" w:space="0" w:color="000000"/>
              <w:right w:val="single" w:sz="8" w:space="0" w:color="000000"/>
            </w:tcBorders>
            <w:vMerge w:val="restart"/>
            <w:vAlign w:val="top"/>
            <w:shd w:val="clear" w:fill="CFE1F3"/>
            <w:tcW w:w="0" w:type="dxa"/>
          </w:tcPr>
          <w:p>
            <w:pPr>
              <w:jc w:val="left"/>
              <w:spacing w:lineRule="auto"/>
            </w:pPr>
            <w:r>
              <w:rPr>
                <w:b/>
                <w:color w:val="000000"/>
                <w:sz w:val="21"/>
              </w:rPr>
              <w:t xml:space="preserve">Confidentiality </w:t>
            </w:r>
            <w:r>
              <w:rPr>
                <w:color w:val="000000"/>
                <w:sz w:val="21"/>
              </w:rPr>
              <w:t xml:space="preserve">— unauthorised disclosure of or access to personal data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Patient data held by Suvera as a processor is accessed by an unauthorised third party — e.g. a technical vulnerability, or inappropriate access by a Suvera or sub-processor employee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 </w:t>
            </w:r>
            <w:r>
              <w:rPr>
                <w:sz w:val="21"/>
              </w:rPr>
              <w:t xml:space="preserve">encryption in transit and at rest, restricted employee access with offboarding controls, annual penetration testing, sub-processor due diligence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5</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A member of practice staff (or someone using their login) accesses patient data they shouldn't, including previous users where the account was not deactivated appropriately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Practice will follow existing procedures for NHS Mail deactivation following staff offboarding.]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[6]</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Where user roles change and no longer require access to Suvera Recall, we will notify Suvera to deactivate the user]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[4]</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A patient using the platform sees another patient's data, or is sent a file intended for someone else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 </w:t>
            </w:r>
            <w:r>
              <w:rPr>
                <w:sz w:val="21"/>
              </w:rPr>
              <w:t xml:space="preserve">identity verification at patient login, no historic data shown to patients, files can be deleted/made inaccessible by Suvera on request if sent in error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r>
      <w:tr>
        <w:trPr/>
        <w:tc>
          <w:tcPr>
            <w:tcBorders>
              <w:top w:val="single" w:sz="8" w:space="0" w:color="000000"/>
              <w:bottom w:val="single" w:sz="8" w:space="0" w:color="000000"/>
              <w:left w:val="single" w:sz="8" w:space="0" w:color="000000"/>
              <w:right w:val="single" w:sz="8" w:space="0" w:color="000000"/>
            </w:tcBorders>
            <w:vMerge w:val="restart"/>
            <w:vAlign w:val="top"/>
            <w:shd w:val="clear" w:fill="CFE1F3"/>
            <w:tcW w:w="0" w:type="dxa"/>
          </w:tcPr>
          <w:p>
            <w:pPr>
              <w:jc w:val="left"/>
              <w:spacing w:lineRule="auto"/>
            </w:pPr>
            <w:r>
              <w:rPr>
                <w:b/>
              </w:rPr>
              <w:t xml:space="preserve">Integrity of Personal Data</w:t>
            </w:r>
            <w:r>
              <w:rPr/>
              <w:t xml:space="preserve"> - unauthorised or accidental alteration)</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Data held or transferred by Suvera is altered, lost, or written incorrectly due to a technical fault (e.g. a bug in Suvera's system or in the EHR integration), leading to inaccurate or missing information in patient record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 </w:t>
            </w:r>
            <w:r>
              <w:rPr>
                <w:sz w:val="21"/>
              </w:rPr>
              <w:t xml:space="preserve">code review and automated testing on all changes, EHR integration change-control process, error correction, escalation route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A member of practice staff makes a mistake sending an SMS or requesting a questionnaire/blood test, so incorrect information reaches the patient or the EHR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color w:val="000000"/>
                <w:sz w:val="21"/>
              </w:rPr>
              <w:t xml:space="preserve">Confirmed by Suvera: </w:t>
            </w:r>
            <w:r>
              <w:rPr>
                <w:color w:val="000000"/>
                <w:sz w:val="21"/>
              </w:rPr>
              <w:t xml:space="preserve">Recall </w:t>
            </w:r>
            <w:r>
              <w:rPr>
                <w:color w:val="000000"/>
                <w:sz w:val="21"/>
                <w:shd w:val="clear" w:fill="f9fafb"/>
              </w:rPr>
              <w:t xml:space="preserve">automatically personalises the selection of investigations/ questionnaires based on patient data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[Practice to detail their own training/checking process]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X</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X</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X</w:t>
            </w:r>
          </w:p>
        </w:tc>
      </w:tr>
      <w:tr>
        <w:trPr/>
        <w:tc>
          <w:tcPr>
            <w:tcBorders>
              <w:top w:val="single" w:sz="8" w:space="0" w:color="000000"/>
              <w:bottom w:val="single" w:sz="8" w:space="0" w:color="000000"/>
              <w:left w:val="single" w:sz="8" w:space="0" w:color="000000"/>
              <w:right w:val="single" w:sz="8" w:space="0" w:color="000000"/>
            </w:tcBorders>
            <w:vMerge w:val="restart"/>
            <w:vAlign w:val="top"/>
            <w:shd w:val="clear" w:fill="CFE1F3"/>
            <w:tcW w:w="0" w:type="dxa"/>
          </w:tcPr>
          <w:p>
            <w:pPr>
              <w:jc w:val="left"/>
              <w:spacing w:lineRule="auto"/>
            </w:pPr>
            <w:r>
              <w:rPr>
                <w:b/>
                <w:color w:val="000000"/>
                <w:sz w:val="21"/>
              </w:rPr>
              <w:t xml:space="preserve">Availability</w:t>
            </w:r>
            <w:r>
              <w:rPr>
                <w:color w:val="000000"/>
                <w:sz w:val="21"/>
              </w:rPr>
              <w:t xml:space="preserve"> — unauthorised or accidental loss of access to or destruction of personal data (e.g. ransomware, licence expiry, backup failure)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Recall, or a service it depends on (our EHR, an SMS provider), becomes temporarily unavailable, delaying recall activity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w:t>
            </w:r>
            <w:r>
              <w:rPr>
                <w:sz w:val="21"/>
              </w:rPr>
              <w:t xml:space="preserve"> the practice can use the EHR as a back up for everything except the Recall inbox, autoscaling, monitoring/alerting in place on Suvera cloud, multi-availability-zone hosting and graceful degradation in the event of partial outages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[Practice to add own mitigations e.g business continuity plan]</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X</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X</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X</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A patient moves to a different practice after submitting questionnaire results, so we can no longer see them in Recall or act on a submission. This data is not forwarded to the new practice.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w:t>
            </w:r>
            <w:r>
              <w:rPr>
                <w:sz w:val="21"/>
              </w:rPr>
              <w:t xml:space="preserve"> if a patient moves while unreviewed results are outstanding, the results are removed from the platform and Suvera notifies the practice by email and shares the results for manual processing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9</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When notified, Practice will forward relevant information to the patient's new practice in line with NHS guidance]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r>
      <w:tr>
        <w:trPr/>
        <w:tc>
          <w:tcPr>
            <w:tcBorders>
              <w:left w:val="single" w:sz="8" w:space="0" w:color="000000"/>
              <w:right w:val="single" w:sz="8" w:space="0" w:color="000000"/>
              <w:top w:val="single" w:sz="8" w:space="0" w:color="000000"/>
              <w:bottom w:val="single" w:sz="8" w:space="0" w:color="000000"/>
            </w:tcBorders>
            <w:vMerge w:val="continue"/>
            <w:gridSpan w:val="0"/>
          </w:tcP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The practice have outstanding unprocessed inbox items at the point of offboarding from Suvera. These are not clinically reviewed.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 </w:t>
            </w:r>
            <w:r>
              <w:rPr>
                <w:sz w:val="21"/>
              </w:rPr>
              <w:t xml:space="preserve">Before</w:t>
            </w:r>
            <w:r>
              <w:rPr>
                <w:sz w:val="21"/>
              </w:rPr>
              <w:t xml:space="preserve"> offboarding, Suvera monitors for unreviewed data and notifies us by email if any is outstanding; Pending questionnaires are disabled at offboarding.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9</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Practice will action all inbox items before Suvera platform is offboarded]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pPr>
              <w:jc w:val="left"/>
              <w:spacing w:lineRule="auto"/>
            </w:pPr>
            <w:r>
              <w:rPr>
                <w:b/>
                <w:color w:val="000000"/>
                <w:sz w:val="21"/>
              </w:rPr>
              <w:t xml:space="preserve">Information security / cyber security </w:t>
            </w:r>
            <w:r>
              <w:rPr>
                <w:color w:val="000000"/>
                <w:sz w:val="21"/>
              </w:rPr>
              <w:t xml:space="preserve">— ransomware, phishing, malware, supply chain attack, vulnerability exploitation</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A cyber attack (e.g. ransomware) affects Suvera or one of its sub-processors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w:t>
            </w:r>
            <w:r>
              <w:rPr>
                <w:sz w:val="21"/>
              </w:rPr>
              <w:t xml:space="preserve"> encryption, annual penetration testing, access controls with 2FA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shd w:val="clear" w:fill="0c5395"/>
            <w:tcW w:w="0" w:type="dxa"/>
          </w:tcPr>
          <w:p>
            <w:pPr>
              <w:jc w:val="left"/>
              <w:spacing w:lineRule="auto"/>
            </w:pPr>
            <w:r>
              <w:rPr>
                <w:b/>
                <w:color w:val="FFFFFF"/>
                <w:sz w:val="21"/>
              </w:rPr>
              <w:t xml:space="preserve">GDPR Principles</w:t>
            </w: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c>
          <w:tcPr>
            <w:tcBorders>
              <w:top w:val="single" w:sz="8" w:space="0" w:color="000000"/>
              <w:bottom w:val="single" w:sz="8" w:space="0" w:color="000000"/>
              <w:left w:val="single" w:sz="8" w:space="0" w:color="000000"/>
              <w:right w:val="single" w:sz="8" w:space="0" w:color="000000"/>
            </w:tcBorders>
            <w:vAlign w:val="top"/>
            <w:shd w:val="clear" w:fill="0c5395"/>
            <w:tcW w:w="0" w:type="dxa"/>
          </w:tcP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We fail to identify or include all relevant Recall Platform data when responding to a subject access request. Either due to failure to forward request to Suvera, or due to Suvera failing to include information in their response.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 </w:t>
            </w:r>
            <w:r>
              <w:rPr>
                <w:sz w:val="21"/>
              </w:rPr>
              <w:t xml:space="preserve">Suvera includes MongoDB and S3 platform data within its own SAR processes; see DPA for further details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6</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[Practice SAR procedure updated to include contacting Suvera for data]</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pPr>
              <w:jc w:val="left"/>
              <w:spacing w:lineRule="auto"/>
            </w:pPr>
            <w:r>
              <w:rPr>
                <w:b/>
                <w:color w:val="000000"/>
                <w:sz w:val="21"/>
              </w:rPr>
              <w:t xml:space="preserve">Accuracy </w:t>
            </w:r>
            <w:r>
              <w:rPr>
                <w:color w:val="000000"/>
                <w:sz w:val="21"/>
              </w:rPr>
              <w:t xml:space="preserve">— stale, incorrect or out-of-date data used in patient care pathways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A recall or QOF target is calculated using stale EHR data because a sync hasn't run since a recent change; or a bug in the business rules implementation means a patient is missed or wrongly flagged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w:t>
            </w:r>
            <w:r>
              <w:rPr>
                <w:sz w:val="21"/>
              </w:rPr>
              <w:t xml:space="preserve"> last-sync date shown to end users; the integration is monitored and alerted; target logic is checked against published business rules; errors are corrected when identified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3</w:t>
            </w: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pPr>
              <w:jc w:val="left"/>
              <w:spacing w:lineRule="auto"/>
            </w:pPr>
            <w:r>
              <w:rPr>
                <w:b/>
                <w:color w:val="000000"/>
                <w:sz w:val="21"/>
              </w:rPr>
              <w:t xml:space="preserve">Data minimisation </w:t>
            </w:r>
            <w:r>
              <w:rPr>
                <w:color w:val="000000"/>
                <w:sz w:val="21"/>
              </w:rPr>
              <w:t xml:space="preserve">— collecting more data than necessary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We use Recall features beyond what we actually need for our recall workflow, or ask patients for more data than necessary</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Practice has a policy to ensure that patients are only recalled for the required investigations and questionnaires. We will review Suvera's rule logic periodically to ensure suggestions align to Practice data collection requirements]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pPr>
              <w:jc w:val="left"/>
              <w:spacing w:lineRule="auto"/>
            </w:pPr>
            <w:r>
              <w:rPr>
                <w:b/>
                <w:color w:val="000000"/>
                <w:sz w:val="21"/>
              </w:rPr>
              <w:t xml:space="preserve">Purpose limitation </w:t>
            </w:r>
            <w:r>
              <w:rPr>
                <w:color w:val="000000"/>
                <w:sz w:val="21"/>
              </w:rPr>
              <w:t xml:space="preserve">— data used for a purpose incompatible with the original collection purpose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Recall's functionality is used for a purpose other than clinical recall (e.g. general practice communications or marketing)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Practice has a policy to ensure software including Suvera Recall is only used within its intended use]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pPr>
              <w:jc w:val="left"/>
              <w:spacing w:lineRule="auto"/>
            </w:pPr>
            <w:r>
              <w:rPr>
                <w:b/>
                <w:color w:val="000000"/>
                <w:sz w:val="21"/>
              </w:rPr>
              <w:t xml:space="preserve">Lawfulness, fairness and transparency </w:t>
            </w:r>
            <w:r>
              <w:rPr>
                <w:color w:val="000000"/>
                <w:sz w:val="21"/>
              </w:rPr>
              <w:t xml:space="preserve">— no lawful basis; unfair processing; processing outside privacy notice; missing DPA; unlawful international transfer; missing LIA; missing cookie consent</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Patients aren't made aware their data is processed via Suvera because our privacy notice hasn't been updated to reflect this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Practice privacy notice updated to reference Recall and Suvera's role as processor]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[4]</w:t>
            </w: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pPr>
              <w:jc w:val="left"/>
              <w:spacing w:lineRule="auto"/>
            </w:pPr>
            <w:r>
              <w:rPr>
                <w:b/>
                <w:color w:val="000000"/>
                <w:sz w:val="21"/>
              </w:rPr>
              <w:t xml:space="preserve">Accountability </w:t>
            </w:r>
            <w:r>
              <w:rPr>
                <w:color w:val="000000"/>
                <w:sz w:val="21"/>
              </w:rPr>
              <w:t xml:space="preserve">— processing not in ROPA; missing policy document for new special category processing; staff not trained on new process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This processing isn't reflected in our ROPA, or staff use the platform without training</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Use of Suvera for recall has been added to the ROPA; staff will be trained on Recall prior to use]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[3]</w:t>
            </w: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c>
          <w:tcPr>
            <w:tcBorders>
              <w:top w:val="single" w:sz="8" w:space="0" w:color="000000"/>
              <w:bottom w:val="single" w:sz="8" w:space="0" w:color="000000"/>
              <w:left w:val="single" w:sz="8" w:space="0" w:color="000000"/>
              <w:right w:val="single" w:sz="8" w:space="0" w:color="000000"/>
            </w:tcBorders>
            <w:vAlign w:val="top"/>
            <w:tcW w:w="0" w:type="dxa"/>
          </w:tcPr>
          <w:p/>
        </w:tc>
      </w:tr>
      <w:tr>
        <w:trPr/>
        <w:tc>
          <w:tcPr>
            <w:tcBorders>
              <w:top w:val="single" w:sz="8" w:space="0" w:color="000000"/>
              <w:bottom w:val="single" w:sz="8" w:space="0" w:color="000000"/>
              <w:left w:val="single" w:sz="8" w:space="0" w:color="000000"/>
              <w:right w:val="single" w:sz="8" w:space="0" w:color="000000"/>
            </w:tcBorders>
            <w:vAlign w:val="top"/>
            <w:shd w:val="clear" w:fill="CFE1F3"/>
            <w:tcW w:w="0" w:type="dxa"/>
          </w:tcPr>
          <w:p>
            <w:pPr>
              <w:jc w:val="left"/>
              <w:spacing w:lineRule="auto"/>
            </w:pPr>
            <w:r>
              <w:rPr>
                <w:b/>
                <w:color w:val="000000"/>
                <w:sz w:val="21"/>
              </w:rPr>
              <w:t xml:space="preserve">Storage limitation </w:t>
            </w:r>
            <w:r>
              <w:rPr>
                <w:color w:val="000000"/>
                <w:sz w:val="21"/>
              </w:rPr>
              <w:t xml:space="preserve">— retention beyond contract end; data held without legal basis</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Data is retained by Suvera for longer than intended by the Practice.</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b/>
                <w:sz w:val="21"/>
              </w:rPr>
              <w:t xml:space="preserve">Confirmed by Suvera:</w:t>
            </w:r>
            <w:r>
              <w:rPr>
                <w:sz w:val="21"/>
              </w:rPr>
              <w:t xml:space="preserve"> Suvera deletes data 8 years post-termination unless instructed to delete sooner</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2</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rPr>
              <w:t xml:space="preserve">10</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[Confirm: Practice has a process to issue deletion instructions to Suvera at contract end, if required]</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[1]</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[5]</w:t>
            </w:r>
          </w:p>
        </w:tc>
        <w:tc>
          <w:tcPr>
            <w:tcBorders>
              <w:top w:val="single" w:sz="8" w:space="0" w:color="000000"/>
              <w:bottom w:val="single" w:sz="8" w:space="0" w:color="000000"/>
              <w:left w:val="single" w:sz="8" w:space="0" w:color="000000"/>
              <w:right w:val="single" w:sz="8" w:space="0" w:color="000000"/>
            </w:tcBorders>
            <w:vAlign w:val="top"/>
            <w:tcW w:w="0" w:type="dxa"/>
          </w:tcPr>
          <w:p>
            <w:pPr>
              <w:jc w:val="left"/>
              <w:spacing w:lineRule="auto"/>
            </w:pPr>
            <w:r>
              <w:rPr>
                <w:sz w:val="21"/>
                <w:shd w:val="clear" w:fill="FEFF00"/>
              </w:rPr>
              <w:t xml:space="preserve">[5]</w:t>
            </w:r>
          </w:p>
        </w:tc>
      </w:tr>
    </w:tbl>
    <w:p>
      <w:pPr>
        <w:spacing w:lineRule="auto"/>
      </w:pPr>
      <w:r>
        <w:rPr/>
      </w:r>
    </w:p>
    <w:p>
      <w:pPr>
        <w:pStyle w:val="Heading2"/>
        <w:spacing w:lineRule="auto"/>
      </w:pPr>
      <w:hyperlink r:id="rId28"/>
      <w:r>
        <w:rPr>
          <w:b/>
          <w:sz w:val="36"/>
        </w:rPr>
        <w:t xml:space="preserve">Step 7 — Sign-off and record outcomes</w:t>
      </w:r>
    </w:p>
    <w:tbl>
      <w:tblPr>
        <w:tblBorders>
          <w:top w:val="single" w:sz="8" w:space="0" w:color="000000"/>
          <w:bottom w:val="single" w:sz="8" w:space="0" w:color="000000"/>
          <w:left w:val="single" w:sz="8" w:space="0" w:color="000000"/>
          <w:right w:val="single" w:sz="8" w:space="0" w:color="000000"/>
          <w:insideV w:val="single" w:sz="1" w:space="0" w:color="000000"/>
          <w:insideH w:val="single" w:sz="1" w:space="0" w:color="000000"/>
        </w:tblBorders>
        <w:tblW w:type="dxa" w:w="13958"/>
        <w:tblCellMar>
          <w:top w:type="dxa" w:w="80"/>
          <w:bottom w:type="dxa" w:w="80"/>
          <w:left w:type="dxa" w:w="160"/>
          <w:right w:type="dxa" w:w="160"/>
        </w:tblCellMar>
        <w:jc w:val="left"/>
      </w:tblPr>
      <w:tblGrid>
        <w:gridCol w:w="3489.5"/>
        <w:gridCol w:w="3489.5"/>
        <w:gridCol w:w="3489.5"/>
        <w:gridCol w:w="3489.5"/>
      </w:tblGrid>
      <w:tr>
        <w:trPr/>
        <w:tc>
          <w:tcPr>
            <w:tcBorders>
              <w:top w:val="single" w:sz="8" w:space="0" w:color="000000"/>
              <w:bottom w:val="single" w:sz="8" w:space="0" w:color="000000"/>
              <w:left w:val="single" w:sz="8" w:space="0" w:color="000000"/>
              <w:right w:val="single" w:sz="8" w:space="0" w:color="000000"/>
            </w:tcBorders>
            <w:vAlign w:val="top"/>
            <w:shd w:val="clear" w:fill="0C5394"/>
            <w:tcW w:w="2685" w:type="dxa"/>
          </w:tcPr>
          <w:p>
            <w:pPr>
              <w:jc w:val="left"/>
              <w:spacing w:lineRule="auto"/>
            </w:pPr>
            <w:r>
              <w:rPr>
                <w:color w:val="FFFFFF"/>
              </w:rPr>
              <w:t xml:space="preserve">Item</w:t>
            </w:r>
          </w:p>
        </w:tc>
        <w:tc>
          <w:tcPr>
            <w:tcBorders>
              <w:top w:val="single" w:sz="8" w:space="0" w:color="000000"/>
              <w:bottom w:val="single" w:sz="8" w:space="0" w:color="000000"/>
              <w:left w:val="single" w:sz="8" w:space="0" w:color="000000"/>
              <w:right w:val="single" w:sz="8" w:space="0" w:color="000000"/>
            </w:tcBorders>
            <w:vAlign w:val="top"/>
            <w:shd w:val="clear" w:fill="0C5394"/>
            <w:tcW w:w="1545" w:type="dxa"/>
          </w:tcPr>
          <w:p>
            <w:pPr>
              <w:jc w:val="left"/>
              <w:spacing w:lineRule="auto"/>
            </w:pPr>
            <w:r>
              <w:rPr>
                <w:color w:val="FFFFFF"/>
              </w:rPr>
              <w:t xml:space="preserve">Name/position</w:t>
            </w:r>
          </w:p>
        </w:tc>
        <w:tc>
          <w:tcPr>
            <w:tcBorders>
              <w:top w:val="single" w:sz="8" w:space="0" w:color="000000"/>
              <w:bottom w:val="single" w:sz="8" w:space="0" w:color="000000"/>
              <w:left w:val="single" w:sz="8" w:space="0" w:color="000000"/>
              <w:right w:val="single" w:sz="8" w:space="0" w:color="000000"/>
            </w:tcBorders>
            <w:vAlign w:val="top"/>
            <w:shd w:val="clear" w:fill="0C5394"/>
            <w:tcW w:w="1110" w:type="dxa"/>
          </w:tcPr>
          <w:p>
            <w:pPr>
              <w:jc w:val="left"/>
              <w:spacing w:lineRule="auto"/>
            </w:pPr>
            <w:r>
              <w:rPr>
                <w:color w:val="FFFFFF"/>
              </w:rPr>
              <w:t xml:space="preserve">Date</w:t>
            </w:r>
          </w:p>
        </w:tc>
        <w:tc>
          <w:tcPr>
            <w:tcBorders>
              <w:top w:val="single" w:sz="8" w:space="0" w:color="000000"/>
              <w:bottom w:val="single" w:sz="8" w:space="0" w:color="000000"/>
              <w:left w:val="single" w:sz="8" w:space="0" w:color="000000"/>
              <w:right w:val="single" w:sz="8" w:space="0" w:color="000000"/>
            </w:tcBorders>
            <w:vAlign w:val="top"/>
            <w:shd w:val="clear" w:fill="0C5394"/>
          </w:tcPr>
          <w:p>
            <w:pPr>
              <w:jc w:val="left"/>
              <w:spacing w:lineRule="auto"/>
            </w:pPr>
            <w:r>
              <w:rPr>
                <w:color w:val="FFFFFF"/>
              </w:rPr>
              <w:t xml:space="preserve">Notes</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Measures approved by</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Integrate all actions back into the project plan with dates and owners</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Residual risks approved by</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If accepting any residual high risk, the ICO must be consulted first. If medium risk, document discussion with leadership team</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DPO feedback</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DPO should advise on compliance, risk mitigation, and whether processing can proceed</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DPO advice accepted or overruled by</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t xml:space="preserve">If overruled, document reasons</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Consultation responses reviewed by</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00000"/>
                <w:sz w:val="24"/>
              </w:rPr>
              <w:t xml:space="preserve">If the decision departs from individuals' views, document the reasons.</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ICO consultation required?</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1"/>
                <w:shd w:val="clear" w:fill="FEFF00"/>
              </w:rPr>
              <w:t xml:space="preserve">[Insert Yes / No]</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00000"/>
                <w:sz w:val="24"/>
              </w:rPr>
              <w:t xml:space="preserve">If Yes, do not proceed until the ICO's written response is received (UK GDPR Art. 36).</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ICO response received</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00000"/>
                <w:sz w:val="24"/>
              </w:rPr>
              <w:t xml:space="preserve">Attach or link to the ICO written response.</w:t>
            </w:r>
          </w:p>
        </w:tc>
      </w:tr>
      <w:tr>
        <w:trPr/>
        <w:tc>
          <w:tcPr>
            <w:tcBorders>
              <w:top w:val="single" w:sz="8" w:space="0" w:color="000000"/>
              <w:bottom w:val="single" w:sz="8" w:space="0" w:color="000000"/>
              <w:left w:val="single" w:sz="8" w:space="0" w:color="000000"/>
              <w:right w:val="single" w:sz="8" w:space="0" w:color="000000"/>
            </w:tcBorders>
            <w:vAlign w:val="top"/>
            <w:tcW w:w="2685" w:type="dxa"/>
          </w:tcPr>
          <w:p>
            <w:pPr>
              <w:jc w:val="left"/>
              <w:spacing w:lineRule="auto"/>
            </w:pPr>
            <w:r>
              <w:rPr/>
              <w:t xml:space="preserve">This DPIA will be kept under review by</w:t>
            </w:r>
          </w:p>
        </w:tc>
        <w:tc>
          <w:tcPr>
            <w:tcBorders>
              <w:top w:val="single" w:sz="8" w:space="0" w:color="000000"/>
              <w:bottom w:val="single" w:sz="8" w:space="0" w:color="000000"/>
              <w:left w:val="single" w:sz="8" w:space="0" w:color="000000"/>
              <w:right w:val="single" w:sz="8" w:space="0" w:color="000000"/>
            </w:tcBorders>
            <w:vAlign w:val="top"/>
            <w:tcW w:w="1545"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W w:w="1110" w:type="dxa"/>
          </w:tcPr>
          <w:p>
            <w:pPr>
              <w:jc w:val="left"/>
              <w:spacing w:lineRule="auto"/>
            </w:pPr>
            <w:r>
              <w:rPr>
                <w:color w:val="000000"/>
                <w:sz w:val="24"/>
                <w:shd w:val="clear" w:fill="FEFF00"/>
              </w:rPr>
              <w:t xml:space="preserve">[Insert]</w:t>
            </w:r>
          </w:p>
        </w:tc>
        <w:tc>
          <w:tcPr>
            <w:tcBorders>
              <w:top w:val="single" w:sz="8" w:space="0" w:color="000000"/>
              <w:bottom w:val="single" w:sz="8" w:space="0" w:color="000000"/>
              <w:left w:val="single" w:sz="8" w:space="0" w:color="000000"/>
              <w:right w:val="single" w:sz="8" w:space="0" w:color="000000"/>
            </w:tcBorders>
            <w:vAlign w:val="top"/>
          </w:tcPr>
          <w:p>
            <w:pPr>
              <w:jc w:val="left"/>
              <w:spacing w:lineRule="auto"/>
            </w:pPr>
            <w:r>
              <w:rPr>
                <w:color w:val="000000"/>
                <w:sz w:val="24"/>
              </w:rPr>
              <w:t xml:space="preserve">DPO should also review ongoing compliance with this DPIA.</w:t>
            </w:r>
          </w:p>
        </w:tc>
      </w:tr>
    </w:tbl>
    <w:p>
      <w:pPr>
        <w:spacing w:lineRule="auto"/>
      </w:pPr>
      <w:r>
        <w:rPr/>
      </w:r>
    </w:p>
    <w:p>
      <w:pPr>
        <w:pStyle w:val="Heading3"/>
        <w:spacing w:lineRule="auto"/>
      </w:pPr>
      <w:hyperlink r:id="rId29"/>
      <w:r>
        <w:rPr>
          <w:b/>
          <w:sz w:val="28"/>
        </w:rPr>
        <w:t xml:space="preserve">Next review trigger</w:t>
      </w:r>
    </w:p>
    <w:p>
      <w:pPr>
        <w:spacing w:lineRule="auto"/>
      </w:pPr>
      <w:r>
        <w:rPr>
          <w:color w:val="000000"/>
          <w:sz w:val="24"/>
        </w:rPr>
        <w:t xml:space="preserve">This DPIA must be reviewed when any of the following occur:</w:t>
      </w:r>
    </w:p>
    <w:p>
      <w:pPr>
        <w:numPr>
          <w:ilvl w:val="0"/>
          <w:numId w:val="15"/>
        </w:numPr>
        <w:spacing w:lineRule="auto"/>
      </w:pPr>
      <w:r>
        <w:rPr>
          <w:color w:val="000000"/>
          <w:sz w:val="24"/>
        </w:rPr>
        <w:t xml:space="preserve">Significant change to the processing (new purpose, data types, processor, or system)</w:t>
      </w:r>
    </w:p>
    <w:p>
      <w:pPr>
        <w:numPr>
          <w:ilvl w:val="0"/>
          <w:numId w:val="15"/>
        </w:numPr>
        <w:spacing w:lineRule="auto"/>
      </w:pPr>
      <w:r>
        <w:rPr>
          <w:color w:val="000000"/>
          <w:sz w:val="24"/>
        </w:rPr>
        <w:t xml:space="preserve">Security incident or near-miss relating to this processing</w:t>
      </w:r>
    </w:p>
    <w:p>
      <w:pPr>
        <w:numPr>
          <w:ilvl w:val="0"/>
          <w:numId w:val="15"/>
        </w:numPr>
        <w:spacing w:lineRule="auto"/>
      </w:pPr>
      <w:r>
        <w:rPr>
          <w:color w:val="000000"/>
          <w:sz w:val="24"/>
        </w:rPr>
        <w:t xml:space="preserve">New security flaw identified in a tool or platform used</w:t>
      </w:r>
    </w:p>
    <w:p>
      <w:pPr>
        <w:numPr>
          <w:ilvl w:val="0"/>
          <w:numId w:val="15"/>
        </w:numPr>
        <w:spacing w:lineRule="auto"/>
      </w:pPr>
      <w:r>
        <w:rPr>
          <w:color w:val="000000"/>
          <w:sz w:val="24"/>
        </w:rPr>
        <w:t xml:space="preserve">Regulatory guidance changes affecting this assessment</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7">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9">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3">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5">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GB" w:eastAsia="en-GB"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CaYDxmZktCKmPW2VglPTp.png" TargetMode="Internal"/>
  <Relationship Id="rId7" Type="http://schemas.openxmlformats.org/officeDocument/2006/relationships/hyperlink" Target="" TargetMode="External"/>
  <Relationship Id="rId8" Type="http://schemas.openxmlformats.org/officeDocument/2006/relationships/hyperlink" Target="" TargetMode="External"/>
  <Relationship Id="rId9" Type="http://schemas.openxmlformats.org/officeDocument/2006/relationships/hyperlink" Target="" TargetMode="External"/>
  <Relationship Id="rId10" Type="http://schemas.openxmlformats.org/officeDocument/2006/relationships/hyperlink" Target="" TargetMode="External"/>
  <Relationship Id="rId11" Type="http://schemas.openxmlformats.org/officeDocument/2006/relationships/hyperlink" Target="" TargetMode="External"/>
  <Relationship Id="rId12" Type="http://schemas.openxmlformats.org/officeDocument/2006/relationships/hyperlink" Target="" TargetMode="External"/>
  <Relationship Id="rId13" Type="http://schemas.openxmlformats.org/officeDocument/2006/relationships/hyperlink" Target="" TargetMode="External"/>
  <Relationship Id="rId14" Type="http://schemas.openxmlformats.org/officeDocument/2006/relationships/hyperlink" Target="" TargetMode="External"/>
  <Relationship Id="rId15" Type="http://schemas.openxmlformats.org/officeDocument/2006/relationships/hyperlink" Target="" TargetMode="External"/>
  <Relationship Id="rId16" Type="http://schemas.openxmlformats.org/officeDocument/2006/relationships/hyperlink" Target="" TargetMode="External"/>
  <Relationship Id="rId17" Type="http://schemas.openxmlformats.org/officeDocument/2006/relationships/hyperlink" Target="" TargetMode="External"/>
  <Relationship Id="rId18" Type="http://schemas.openxmlformats.org/officeDocument/2006/relationships/hyperlink" Target="https://support.suvera.com/en/articles/18962-how-we-calculate-which-investigations-are-due-now" TargetMode="External"/>
  <Relationship Id="rId19" Type="http://schemas.openxmlformats.org/officeDocument/2006/relationships/hyperlink" Target="" TargetMode="External"/>
  <Relationship Id="rId20" Type="http://schemas.openxmlformats.org/officeDocument/2006/relationships/hyperlink" Target="" TargetMode="External"/>
  <Relationship Id="rId21" Type="http://schemas.openxmlformats.org/officeDocument/2006/relationships/hyperlink" Target="" TargetMode="External"/>
  <Relationship Id="rId22" Type="http://schemas.openxmlformats.org/officeDocument/2006/relationships/hyperlink" Target="https://app.assuric.com/documents/5by1hkS99vsKc2v9eDF7/editor" TargetMode="External"/>
  <Relationship Id="rId23" Type="http://schemas.openxmlformats.org/officeDocument/2006/relationships/hyperlink" Target="https://support.suvera.com/en/articles/18962-how-we-calculate-which-investigations-are-due-now" TargetMode="External"/>
  <Relationship Id="rId24" Type="http://schemas.openxmlformats.org/officeDocument/2006/relationships/hyperlink" Target="" TargetMode="External"/>
  <Relationship Id="rId25" Type="http://schemas.openxmlformats.org/officeDocument/2006/relationships/hyperlink" Target="" TargetMode="External"/>
  <Relationship Id="rId26" Type="http://schemas.openxmlformats.org/officeDocument/2006/relationships/hyperlink" Target="" TargetMode="External"/>
  <Relationship Id="rId27" Type="http://schemas.openxmlformats.org/officeDocument/2006/relationships/hyperlink" Target="" TargetMode="External"/>
  <Relationship Id="rId28" Type="http://schemas.openxmlformats.org/officeDocument/2006/relationships/hyperlink" Target="" TargetMode="External"/>
  <Relationship Id="rId29" Type="http://schemas.openxmlformats.org/officeDocument/2006/relationships/hyperlink" Target="" TargetMode="External"/>
  <Relationship Id="rId30"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Assuric</dc:creator>
  <cp:keywords>Powered by TurboDocx html-to-docx</cp:keywords>
  <dc:description/>
  <cp:lastModifiedBy>Powered by TurboDocx html-to-docx</cp:lastModifiedBy>
  <cp:revision>1</cp:revision>
  <dcterms:created xsi:type="dcterms:W3CDTF">2026-09-15T12:32:08.355Z</dcterms:created>
  <dcterms:modified xsi:type="dcterms:W3CDTF">2026-09-15T12:32:08.355Z</dcterms:modified>
</cp:coreProperties>
</file>